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09"/>
        <w:spacing w:line="360" w:lineRule="auto"/>
        <w:rPr>
          <w:color w:val="000000"/>
          <w:sz w:val="60"/>
          <w:szCs w:val="60"/>
          <w:highlight w:val="none"/>
        </w:rPr>
      </w:pPr>
      <w:r>
        <w:rPr>
          <w:color w:val="000000"/>
          <w:sz w:val="60"/>
          <w:szCs w:val="60"/>
          <w:highlight w:val="none"/>
        </w:rPr>
      </w:r>
      <w:r/>
    </w:p>
    <w:p>
      <w:pPr>
        <w:pStyle w:val="809"/>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09"/>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80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809"/>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ascii="Times New Roman" w:hAnsi="Times New Roman" w:eastAsia="宋体" w:cs="Times New Roman"/>
          <w:bCs/>
          <w:color w:val="000000"/>
          <w:sz w:val="36"/>
          <w:szCs w:val="36"/>
          <w:highlight w:val="none"/>
          <w:lang w:eastAsia="zh-CN"/>
        </w:rPr>
        <w:t xml:space="preserve">优先监管地块重点监测项目</w:t>
      </w:r>
      <w:r>
        <w:rPr>
          <w:bCs/>
          <w:color w:val="000000"/>
          <w:sz w:val="36"/>
          <w:szCs w:val="36"/>
          <w:highlight w:val="none"/>
        </w:rPr>
      </w:r>
      <w:r/>
    </w:p>
    <w:p>
      <w:pPr>
        <w:pStyle w:val="8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项目编号/包号：</w:t>
      </w:r>
      <w:r>
        <w:rPr>
          <w:rFonts w:hint="eastAsia"/>
          <w:bCs/>
          <w:color w:val="000000"/>
          <w:sz w:val="36"/>
          <w:szCs w:val="36"/>
          <w:highlight w:val="none"/>
          <w:lang w:eastAsia="zh-CN"/>
        </w:rPr>
        <w:t xml:space="preserve">JSZC-320481-LYDH-C2025-0019</w:t>
      </w:r>
      <w:r>
        <w:rPr>
          <w:rFonts w:hint="eastAsia" w:eastAsia="宋体"/>
          <w:bCs/>
          <w:color w:val="000000"/>
          <w:sz w:val="36"/>
          <w:szCs w:val="36"/>
          <w:highlight w:val="none"/>
          <w:lang w:eastAsia="zh-CN"/>
        </w:rPr>
      </w:r>
      <w:r/>
    </w:p>
    <w:p>
      <w:pPr>
        <w:pStyle w:val="809"/>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ascii="宋体" w:hAnsi="宋体"/>
          <w:bCs/>
          <w:color w:val="000000"/>
          <w:sz w:val="36"/>
          <w:szCs w:val="36"/>
          <w:highlight w:val="none"/>
          <w:lang w:eastAsia="zh-CN"/>
        </w:rPr>
        <w:t xml:space="preserve">常州市溧阳生态环境局</w:t>
      </w:r>
      <w:r>
        <w:rPr>
          <w:rFonts w:hint="eastAsia" w:eastAsia="宋体"/>
          <w:bCs/>
          <w:color w:val="000000"/>
          <w:sz w:val="36"/>
          <w:szCs w:val="36"/>
          <w:highlight w:val="none"/>
          <w:lang w:eastAsia="zh-CN"/>
        </w:rPr>
      </w:r>
      <w:r/>
    </w:p>
    <w:p>
      <w:pPr>
        <w:pStyle w:val="809"/>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val="en-US" w:eastAsia="zh-CN"/>
        </w:rPr>
        <w:t xml:space="preserve">溧阳大华工程项目管理有限公司</w:t>
      </w:r>
      <w:r>
        <w:rPr>
          <w:bCs/>
          <w:color w:val="000000"/>
          <w:sz w:val="36"/>
          <w:szCs w:val="36"/>
          <w:highlight w:val="none"/>
        </w:rPr>
      </w:r>
      <w:r/>
    </w:p>
    <w:p>
      <w:pPr>
        <w:pStyle w:val="809"/>
        <w:jc w:val="left"/>
        <w:widowControl/>
        <w:rPr>
          <w:b/>
          <w:bCs/>
          <w:color w:val="000000"/>
          <w:sz w:val="44"/>
          <w:highlight w:val="none"/>
        </w:rPr>
      </w:pPr>
      <w:r>
        <w:rPr>
          <w:b/>
          <w:bCs/>
          <w:color w:val="000000"/>
          <w:sz w:val="44"/>
          <w:highlight w:val="none"/>
        </w:rPr>
      </w:r>
      <w:r/>
    </w:p>
    <w:p>
      <w:pPr>
        <w:pStyle w:val="809"/>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989"/>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09"/>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62"/>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"_Toc104818925"</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第一章</w:t>
      </w:r>
      <w:r>
        <w:rPr>
          <w:rStyle w:val="887"/>
          <w:color w:val="000000"/>
          <w:highlight w:val="none"/>
        </w:rPr>
        <w:t xml:space="preserve">   </w:t>
      </w:r>
      <w:r>
        <w:rPr>
          <w:rStyle w:val="887"/>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"_Toc104818926"</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第二章</w:t>
      </w:r>
      <w:r>
        <w:rPr>
          <w:rStyle w:val="887"/>
          <w:color w:val="000000"/>
          <w:highlight w:val="none"/>
        </w:rPr>
        <w:t xml:space="preserve">   </w:t>
      </w:r>
      <w:r>
        <w:rPr>
          <w:rStyle w:val="887"/>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5</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"_Toc104818927"</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第三章</w:t>
      </w:r>
      <w:r>
        <w:rPr>
          <w:rStyle w:val="887"/>
          <w:color w:val="000000"/>
          <w:highlight w:val="none"/>
        </w:rPr>
        <w:t xml:space="preserve">   </w:t>
      </w:r>
      <w:r>
        <w:rPr>
          <w:rStyle w:val="887"/>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19</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"_Toc104818928"</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第四章</w:t>
      </w:r>
      <w:r>
        <w:rPr>
          <w:rStyle w:val="887"/>
          <w:color w:val="000000"/>
          <w:highlight w:val="none"/>
        </w:rPr>
        <w:t xml:space="preserve">   </w:t>
      </w:r>
      <w:r>
        <w:rPr>
          <w:rStyle w:val="887"/>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28</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"_Toc104818929"</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第五章</w:t>
      </w:r>
      <w:r>
        <w:rPr>
          <w:rStyle w:val="887"/>
          <w:color w:val="000000"/>
          <w:highlight w:val="none"/>
        </w:rPr>
        <w:t xml:space="preserve">   </w:t>
      </w:r>
      <w:r>
        <w:rPr>
          <w:rStyle w:val="887"/>
          <w:rFonts w:hint="eastAsia"/>
          <w:color w:val="000000"/>
          <w:highlight w:val="none"/>
        </w:rPr>
        <w:t xml:space="preserve">合同草案条款</w:t>
      </w:r>
      <w:r>
        <w:rPr>
          <w:color w:val="000000"/>
          <w:highlight w:val="none"/>
        </w:rPr>
        <w:tab/>
      </w:r>
      <w:r>
        <w:rPr>
          <w:color w:val="000000"/>
          <w:highlight w:val="none"/>
        </w:rPr>
        <w:fldChar w:fldCharType="begin"/>
      </w:r>
      <w:r>
        <w:rPr>
          <w:color w:val="000000"/>
          <w:highlight w:val="none"/>
        </w:rPr>
        <w:instrText xml:space="preserve"> PAGEREF _Toc104818929 \h </w:instrText>
      </w:r>
      <w:r>
        <w:rPr>
          <w:color w:val="000000"/>
          <w:highlight w:val="none"/>
        </w:rPr>
        <w:fldChar w:fldCharType="separate"/>
      </w:r>
      <w:r>
        <w:rPr>
          <w:color w:val="000000"/>
          <w:highlight w:val="none"/>
        </w:rPr>
        <w:t xml:space="preserve">30</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tabs>
          <w:tab w:val="left" w:pos="1050" w:leader="none"/>
          <w:tab w:val="right" w:pos="8937" w:leader="dot"/>
        </w:tabs>
        <w:rPr>
          <w:rFonts w:ascii="Calibri" w:hAnsi="Calibri"/>
          <w:b w:val="0"/>
          <w:color w:val="000000"/>
          <w:sz w:val="21"/>
          <w:szCs w:val="22"/>
          <w:highlight w:val="none"/>
        </w:rPr>
      </w:pPr>
      <w:r>
        <w:rPr>
          <w:rStyle w:val="887"/>
          <w:color w:val="000000"/>
          <w:highlight w:val="none"/>
        </w:rPr>
        <w:fldChar w:fldCharType="begin"/>
      </w:r>
      <w:r>
        <w:rPr>
          <w:rStyle w:val="887"/>
          <w:color w:val="000000"/>
          <w:highlight w:val="none"/>
        </w:rPr>
        <w:instrText xml:space="preserve"> </w:instrText>
      </w:r>
      <w:r>
        <w:rPr>
          <w:color w:val="000000"/>
          <w:highlight w:val="none"/>
        </w:rPr>
        <w:instrText xml:space="preserve">HYPERLINK \l "_Toc104818930"</w:instrText>
      </w:r>
      <w:r>
        <w:rPr>
          <w:rStyle w:val="887"/>
          <w:color w:val="000000"/>
          <w:highlight w:val="none"/>
        </w:rPr>
        <w:instrText xml:space="preserve"> </w:instrText>
      </w:r>
      <w:r>
        <w:rPr>
          <w:rStyle w:val="887"/>
          <w:color w:val="000000"/>
          <w:highlight w:val="none"/>
        </w:rPr>
        <w:fldChar w:fldCharType="separate"/>
      </w:r>
      <w:r>
        <w:rPr>
          <w:rStyle w:val="887"/>
          <w:rFonts w:hint="eastAsia"/>
          <w:color w:val="000000"/>
          <w:highlight w:val="none"/>
        </w:rPr>
        <w:t xml:space="preserve">第六章</w:t>
      </w:r>
      <w:r>
        <w:rPr>
          <w:rStyle w:val="887"/>
          <w:color w:val="000000"/>
          <w:highlight w:val="none"/>
        </w:rPr>
        <w:t xml:space="preserve">   </w:t>
      </w:r>
      <w:r>
        <w:rPr>
          <w:rStyle w:val="887"/>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35</w:t>
      </w:r>
      <w:r>
        <w:rPr>
          <w:color w:val="000000"/>
          <w:highlight w:val="none"/>
        </w:rPr>
        <w:fldChar w:fldCharType="end"/>
      </w:r>
      <w:r>
        <w:rPr>
          <w:rStyle w:val="887"/>
          <w:color w:val="000000"/>
          <w:highlight w:val="none"/>
        </w:rPr>
        <w:fldChar w:fldCharType="end"/>
      </w:r>
      <w:r>
        <w:rPr>
          <w:rFonts w:ascii="Calibri" w:hAnsi="Calibri"/>
          <w:b w:val="0"/>
          <w:color w:val="000000"/>
          <w:sz w:val="21"/>
          <w:szCs w:val="22"/>
          <w:highlight w:val="none"/>
        </w:rPr>
      </w:r>
      <w:r/>
    </w:p>
    <w:p>
      <w:pPr>
        <w:pStyle w:val="862"/>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62"/>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809"/>
        <w:jc w:val="center"/>
        <w:spacing w:line="360" w:lineRule="auto"/>
        <w:rPr>
          <w:b/>
          <w:color w:val="000000"/>
          <w:sz w:val="36"/>
          <w:szCs w:val="36"/>
          <w:highlight w:val="none"/>
        </w:rPr>
        <w:outlineLvl w:val="0"/>
      </w:pPr>
      <w:r>
        <w:rPr>
          <w:b/>
          <w:color w:val="000000"/>
          <w:sz w:val="36"/>
          <w:szCs w:val="36"/>
          <w:highlight w:val="none"/>
        </w:rPr>
        <w:br w:type="page" w:clear="all"/>
      </w:r>
      <w:r/>
      <w:r/>
      <w:bookmarkStart w:id="1" w:name="_Toc104818925"/>
      <w:r>
        <w:rPr>
          <w:b/>
          <w:color w:val="000000"/>
          <w:sz w:val="36"/>
          <w:szCs w:val="36"/>
          <w:highlight w:val="none"/>
        </w:rPr>
        <w:t xml:space="preserve">第一章   采购邀请</w:t>
      </w:r>
      <w:bookmarkEnd w:id="1"/>
      <w:r/>
      <w:bookmarkStart w:id="2" w:name="_Toc35393621"/>
      <w:r/>
      <w:bookmarkStart w:id="3" w:name="_Toc28359002"/>
      <w:r/>
      <w:bookmarkStart w:id="4" w:name="_Toc28359079"/>
      <w:r/>
      <w:bookmarkStart w:id="5" w:name="_Toc35393790"/>
      <w:r/>
      <w:bookmarkStart w:id="6" w:name="_Hlk24379207"/>
      <w:r>
        <w:rPr>
          <w:b/>
          <w:color w:val="000000"/>
          <w:sz w:val="36"/>
          <w:szCs w:val="36"/>
          <w:highlight w:val="none"/>
        </w:rPr>
      </w:r>
      <w:r/>
      <w:r>
        <w:rPr>
          <w:b/>
          <w:color w:val="000000"/>
          <w:sz w:val="36"/>
          <w:szCs w:val="36"/>
          <w:highlight w:val="none"/>
        </w:rPr>
      </w:r>
    </w:p>
    <w:p>
      <w:pPr>
        <w:pStyle w:val="811"/>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809"/>
        <w:ind w:firstLine="480"/>
        <w:spacing w:line="360" w:lineRule="auto"/>
        <w:rPr>
          <w:rFonts w:hint="eastAsia" w:eastAsia="宋体"/>
          <w:color w:val="000000"/>
          <w:sz w:val="24"/>
          <w:highlight w:val="none"/>
          <w:lang w:eastAsia="zh-CN"/>
        </w:rPr>
      </w:pPr>
      <w:r>
        <w:rPr>
          <w:color w:val="000000"/>
          <w:sz w:val="24"/>
          <w:highlight w:val="none"/>
        </w:rPr>
        <w:t xml:space="preserve">1.项目编号/包号：</w:t>
      </w:r>
      <w:r>
        <w:rPr>
          <w:rFonts w:hint="eastAsia"/>
          <w:color w:val="000000"/>
          <w:sz w:val="24"/>
          <w:highlight w:val="none"/>
          <w:u w:val="single"/>
          <w:lang w:eastAsia="zh-CN"/>
        </w:rPr>
        <w:t xml:space="preserve">JSZC-320481-LYDH-C2025-0019</w:t>
      </w:r>
      <w:r>
        <w:rPr>
          <w:rFonts w:hint="eastAsia" w:eastAsia="宋体"/>
          <w:color w:val="000000"/>
          <w:sz w:val="24"/>
          <w:highlight w:val="none"/>
          <w:lang w:eastAsia="zh-CN"/>
        </w:rPr>
      </w:r>
      <w:r/>
    </w:p>
    <w:p>
      <w:pPr>
        <w:pStyle w:val="809"/>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u w:val="single"/>
          <w:lang w:eastAsia="zh-CN"/>
        </w:rPr>
        <w:t xml:space="preserve">优先监管地块重点监测项目</w:t>
      </w:r>
      <w:r>
        <w:rPr>
          <w:rFonts w:hint="eastAsia" w:eastAsia="宋体"/>
          <w:color w:val="000000"/>
          <w:sz w:val="24"/>
          <w:highlight w:val="none"/>
          <w:lang w:eastAsia="zh-CN"/>
        </w:rPr>
      </w:r>
      <w:r/>
    </w:p>
    <w:p>
      <w:pPr>
        <w:pStyle w:val="809"/>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809"/>
        <w:ind w:firstLine="480"/>
        <w:spacing w:line="360" w:lineRule="auto"/>
        <w:rPr>
          <w:rFonts w:hint="eastAsia" w:eastAsia="宋体"/>
          <w:color w:val="000000"/>
          <w:sz w:val="24"/>
          <w:highlight w:val="none"/>
          <w:lang w:eastAsia="zh-CN"/>
        </w:rPr>
      </w:pPr>
      <w:r/>
      <w:bookmarkEnd w:id="6"/>
      <w:r/>
      <w:bookmarkStart w:id="7" w:name="_Toc35393791"/>
      <w:r/>
      <w:bookmarkStart w:id="8" w:name="_Toc28359003"/>
      <w:r/>
      <w:bookmarkStart w:id="9" w:name="_Toc35393622"/>
      <w:r/>
      <w:bookmarkStart w:id="10" w:name="_Toc28359080"/>
      <w:r>
        <w:rPr>
          <w:color w:val="000000"/>
          <w:sz w:val="24"/>
          <w:highlight w:val="none"/>
        </w:rPr>
        <w:t xml:space="preserve">4.</w:t>
      </w:r>
      <w:r>
        <w:rPr>
          <w:rFonts w:hint="eastAsia"/>
          <w:color w:val="000000"/>
          <w:sz w:val="24"/>
          <w:highlight w:val="none"/>
        </w:rPr>
        <w:t xml:space="preserve">项目预算金额：人民币1</w:t>
      </w:r>
      <w:r>
        <w:rPr>
          <w:rFonts w:hint="eastAsia"/>
          <w:color w:val="000000"/>
          <w:sz w:val="24"/>
          <w:highlight w:val="none"/>
          <w:lang w:val="en-US" w:eastAsia="zh-CN"/>
        </w:rPr>
        <w:t xml:space="preserve">70</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单价5万元/地块</w:t>
      </w:r>
      <w:r>
        <w:rPr>
          <w:rFonts w:hint="eastAsia"/>
          <w:color w:val="000000"/>
          <w:sz w:val="24"/>
          <w:highlight w:val="none"/>
        </w:rPr>
        <w:t xml:space="preserve">。其中一</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万元；二</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60</w:t>
      </w:r>
      <w:r>
        <w:rPr>
          <w:rFonts w:hint="eastAsia"/>
          <w:color w:val="000000"/>
          <w:sz w:val="24"/>
          <w:highlight w:val="none"/>
        </w:rPr>
        <w:t xml:space="preserve">万元；三</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809"/>
        <w:ind w:firstLine="480"/>
        <w:spacing w:line="360" w:lineRule="auto"/>
        <w:rPr>
          <w:rFonts w:hint="eastAsia" w:eastAsia="宋体"/>
          <w:color w:val="000000"/>
          <w:sz w:val="24"/>
          <w:highlight w:val="none"/>
          <w:lang w:eastAsia="zh-CN"/>
        </w:rPr>
      </w:pPr>
      <w:r>
        <w:rPr>
          <w:rFonts w:hint="eastAsia"/>
          <w:color w:val="000000"/>
          <w:sz w:val="24"/>
          <w:highlight w:val="none"/>
        </w:rPr>
        <w:t xml:space="preserve">项目最高限价：人民币1</w:t>
      </w:r>
      <w:r>
        <w:rPr>
          <w:rFonts w:hint="eastAsia"/>
          <w:color w:val="000000"/>
          <w:sz w:val="24"/>
          <w:highlight w:val="none"/>
          <w:lang w:val="en-US" w:eastAsia="zh-CN"/>
        </w:rPr>
        <w:t xml:space="preserve">70</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单价5万元/地块</w:t>
      </w:r>
      <w:r>
        <w:rPr>
          <w:rFonts w:hint="eastAsia"/>
          <w:color w:val="000000"/>
          <w:sz w:val="24"/>
          <w:highlight w:val="none"/>
        </w:rPr>
        <w:t xml:space="preserve">。其中一</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万元；二</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60</w:t>
      </w:r>
      <w:r>
        <w:rPr>
          <w:rFonts w:hint="eastAsia"/>
          <w:color w:val="000000"/>
          <w:sz w:val="24"/>
          <w:highlight w:val="none"/>
        </w:rPr>
        <w:t xml:space="preserve">万元；三</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809"/>
        <w:numPr>
          <w:ilvl w:val="0"/>
          <w:numId w:val="8"/>
        </w:numPr>
        <w:ind w:firstLine="480"/>
        <w:spacing w:line="360" w:lineRule="auto"/>
        <w:tabs>
          <w:tab w:val="left" w:pos="312" w:leader="none"/>
        </w:tabs>
        <w:rPr>
          <w:color w:val="000000"/>
          <w:sz w:val="24"/>
          <w:highlight w:val="none"/>
        </w:rPr>
      </w:pPr>
      <w:r>
        <w:rPr>
          <w:color w:val="000000"/>
          <w:sz w:val="24"/>
          <w:highlight w:val="none"/>
        </w:rPr>
        <w:t xml:space="preserve">采购需求：</w:t>
      </w:r>
      <w:r>
        <w:rPr>
          <w:color w:val="000000"/>
          <w:sz w:val="24"/>
          <w:highlight w:val="none"/>
        </w:rPr>
      </w:r>
      <w:r/>
    </w:p>
    <w:p>
      <w:pPr>
        <w:pStyle w:val="809"/>
        <w:numPr>
          <w:ilvl w:val="0"/>
          <w:numId w:val="0"/>
        </w:numPr>
        <w:spacing w:line="360" w:lineRule="auto"/>
        <w:rPr>
          <w:rFonts w:hint="eastAsia"/>
          <w:color w:val="000000"/>
          <w:sz w:val="24"/>
          <w:highlight w:val="none"/>
          <w:lang w:eastAsia="zh-CN"/>
        </w:rPr>
      </w:pPr>
      <w:r>
        <w:rPr>
          <w:rFonts w:hint="eastAsia"/>
          <w:color w:val="000000"/>
          <w:sz w:val="24"/>
          <w:highlight w:val="none"/>
          <w:lang w:eastAsia="zh-CN"/>
        </w:rPr>
        <w:t xml:space="preserve">（1）根据《优先监管地块土壤污染管控工作指南》的相关要求，主要工作内容包括：基础信息调查、点位布设、样品采集与流转、检测指标确定、结果评估、信息填报等。</w:t>
      </w:r>
      <w:r>
        <w:rPr>
          <w:rFonts w:hint="eastAsia"/>
          <w:color w:val="000000"/>
          <w:sz w:val="24"/>
          <w:highlight w:val="none"/>
          <w:lang w:eastAsia="zh-CN"/>
        </w:rPr>
      </w:r>
      <w:r/>
    </w:p>
    <w:p>
      <w:pPr>
        <w:pStyle w:val="809"/>
        <w:numPr>
          <w:ilvl w:val="0"/>
          <w:numId w:val="0"/>
        </w:numPr>
        <w:spacing w:line="360" w:lineRule="auto"/>
        <w:rPr>
          <w:rFonts w:hint="eastAsia"/>
          <w:color w:val="000000"/>
          <w:sz w:val="24"/>
          <w:highlight w:val="none"/>
          <w:lang w:eastAsia="zh-CN"/>
        </w:rPr>
      </w:pPr>
      <w:r>
        <w:rPr>
          <w:rFonts w:hint="eastAsia"/>
          <w:color w:val="000000"/>
          <w:sz w:val="24"/>
          <w:highlight w:val="none"/>
          <w:lang w:eastAsia="zh-CN"/>
        </w:rPr>
        <w:t xml:space="preserve">（2）标段划分：本项目共分3个标段，每个供应商可以同时投3个标段，但最多只能中1个标段。</w:t>
      </w:r>
      <w:r>
        <w:rPr>
          <w:rFonts w:hint="eastAsia"/>
          <w:color w:val="000000"/>
          <w:sz w:val="24"/>
          <w:highlight w:val="none"/>
          <w:lang w:eastAsia="zh-CN"/>
        </w:rPr>
      </w:r>
      <w:r/>
    </w:p>
    <w:p>
      <w:pPr>
        <w:pStyle w:val="809"/>
        <w:numPr>
          <w:ilvl w:val="0"/>
          <w:numId w:val="0"/>
        </w:numPr>
        <w:spacing w:line="360" w:lineRule="auto"/>
        <w:rPr>
          <w:rFonts w:hint="eastAsia"/>
          <w:color w:val="000000"/>
          <w:sz w:val="24"/>
          <w:highlight w:val="none"/>
          <w:lang w:eastAsia="zh-CN"/>
        </w:rPr>
      </w:pPr>
      <w:r>
        <w:rPr>
          <w:rFonts w:hint="eastAsia"/>
          <w:color w:val="000000"/>
          <w:sz w:val="24"/>
          <w:highlight w:val="none"/>
          <w:lang w:eastAsia="zh-CN"/>
        </w:rPr>
        <w:t xml:space="preserve">标段具体划分如下：</w:t>
      </w:r>
      <w:r>
        <w:rPr>
          <w:rFonts w:hint="eastAsia"/>
          <w:color w:val="000000"/>
          <w:sz w:val="24"/>
          <w:highlight w:val="none"/>
          <w:lang w:eastAsia="zh-CN"/>
        </w:rPr>
      </w:r>
      <w:r/>
    </w:p>
    <w:tbl>
      <w:tblPr>
        <w:tblW w:w="8929" w:type="dxa"/>
        <w:jc w:val="center"/>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915"/>
        <w:gridCol w:w="1559"/>
        <w:gridCol w:w="2266"/>
      </w:tblGrid>
      <w:tr>
        <w:trPr>
          <w:trHeight w:val="285"/>
        </w:trPr>
        <w:tc>
          <w:tcPr>
            <w:tcW w:w="1189" w:type="dxa"/>
            <w:vAlign w:val="center"/>
            <w:vMerge w:val="restart"/>
            <w:textDirection w:val="lrTb"/>
            <w:noWrap w:val="false"/>
          </w:tcPr>
          <w:p>
            <w:pPr>
              <w:pStyle w:val="80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标段</w:t>
            </w:r>
            <w:r>
              <w:rPr>
                <w:rFonts w:hint="eastAsia" w:ascii="宋体" w:hAnsi="宋体" w:eastAsia="宋体" w:cs="宋体"/>
                <w:color w:val="000000"/>
                <w:sz w:val="24"/>
                <w:highlight w:val="none"/>
                <w:lang w:eastAsia="zh-CN"/>
              </w:rPr>
            </w:r>
            <w:r/>
          </w:p>
        </w:tc>
        <w:tc>
          <w:tcPr>
            <w:tcW w:w="3915" w:type="dxa"/>
            <w:vAlign w:val="center"/>
            <w:vMerge w:val="restart"/>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乡镇（地区）</w:t>
            </w:r>
            <w:r>
              <w:rPr>
                <w:rFonts w:ascii="宋体" w:hAnsi="宋体" w:cs="宋体"/>
                <w:color w:val="000000"/>
                <w:sz w:val="24"/>
                <w:highlight w:val="none"/>
              </w:rPr>
            </w:r>
            <w:r/>
          </w:p>
        </w:tc>
        <w:tc>
          <w:tcPr>
            <w:tcW w:w="1559" w:type="dxa"/>
            <w:vAlign w:val="center"/>
            <w:vMerge w:val="restart"/>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地块</w:t>
            </w: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W w:w="2266"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金额</w:t>
            </w:r>
            <w:r>
              <w:rPr>
                <w:rFonts w:ascii="宋体" w:hAnsi="宋体" w:cs="宋体"/>
                <w:color w:val="000000"/>
                <w:sz w:val="24"/>
                <w:highlight w:val="none"/>
              </w:rPr>
            </w:r>
            <w:r/>
          </w:p>
        </w:tc>
      </w:tr>
      <w:tr>
        <w:trPr>
          <w:trHeight w:val="285"/>
        </w:trPr>
        <w:tc>
          <w:tcPr>
            <w:tcW w:w="1189"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3915"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1559"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2266"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trHeight w:val="570"/>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优先监管地块重点监测项目一</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溧城街道、埭头镇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55</w:t>
            </w:r>
            <w:r>
              <w:rPr>
                <w:rFonts w:ascii="宋体" w:hAnsi="宋体" w:eastAsia="宋体" w:cs="宋体"/>
                <w:color w:val="000000"/>
                <w:sz w:val="24"/>
                <w:highlight w:val="none"/>
                <w:lang w:val="en-US" w:eastAsia="zh-CN"/>
              </w:rPr>
            </w:r>
            <w:r/>
          </w:p>
        </w:tc>
      </w:tr>
      <w:tr>
        <w:trPr>
          <w:trHeight w:val="570"/>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w:t>
            </w:r>
            <w:r>
              <w:rPr>
                <w:rFonts w:hint="eastAsia" w:ascii="宋体" w:hAnsi="宋体" w:cs="宋体"/>
                <w:color w:val="000000"/>
                <w:sz w:val="24"/>
                <w:highlight w:val="none"/>
              </w:rPr>
              <w:t xml:space="preserve">二</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高新区、别桥镇、戴埠镇、经开区、社渚镇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60</w:t>
            </w:r>
            <w:r>
              <w:rPr>
                <w:rFonts w:ascii="宋体" w:hAnsi="宋体" w:eastAsia="宋体" w:cs="宋体"/>
                <w:color w:val="000000"/>
                <w:sz w:val="24"/>
                <w:highlight w:val="none"/>
                <w:lang w:val="en-US" w:eastAsia="zh-CN"/>
              </w:rPr>
            </w:r>
            <w:r/>
          </w:p>
        </w:tc>
      </w:tr>
      <w:tr>
        <w:trPr>
          <w:trHeight w:val="285"/>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w:t>
            </w:r>
            <w:r>
              <w:rPr>
                <w:rFonts w:hint="eastAsia" w:ascii="宋体" w:hAnsi="宋体" w:cs="宋体"/>
                <w:color w:val="000000"/>
                <w:sz w:val="24"/>
                <w:highlight w:val="none"/>
              </w:rPr>
              <w:t xml:space="preserve">三</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南渡镇、竹箦镇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55</w:t>
            </w:r>
            <w:r>
              <w:rPr>
                <w:rFonts w:ascii="宋体" w:hAnsi="宋体" w:cs="宋体"/>
                <w:color w:val="000000"/>
                <w:sz w:val="24"/>
                <w:highlight w:val="none"/>
                <w:lang w:val="en-US" w:eastAsia="zh-CN"/>
              </w:rPr>
            </w:r>
            <w:r/>
          </w:p>
        </w:tc>
      </w:tr>
      <w:tr>
        <w:trPr>
          <w:trHeight w:val="285"/>
        </w:trPr>
        <w:tc>
          <w:tcPr>
            <w:gridSpan w:val="3"/>
            <w:tcW w:w="6663"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合计</w:t>
            </w:r>
            <w:r>
              <w:rPr>
                <w:rFonts w:ascii="宋体" w:hAnsi="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170</w:t>
            </w:r>
            <w:r>
              <w:rPr>
                <w:rFonts w:ascii="宋体" w:hAnsi="宋体" w:cs="宋体"/>
                <w:color w:val="000000"/>
                <w:sz w:val="24"/>
                <w:highlight w:val="none"/>
                <w:lang w:val="en-US" w:eastAsia="zh-CN"/>
              </w:rPr>
            </w:r>
            <w:r/>
          </w:p>
        </w:tc>
      </w:tr>
    </w:tbl>
    <w:p>
      <w:pPr>
        <w:pStyle w:val="809"/>
        <w:numPr>
          <w:ilvl w:val="0"/>
          <w:numId w:val="0"/>
        </w:numPr>
        <w:spacing w:line="360" w:lineRule="auto"/>
        <w:rPr>
          <w:rFonts w:hint="eastAsia"/>
          <w:color w:val="000000"/>
          <w:sz w:val="24"/>
          <w:highlight w:val="none"/>
          <w:lang w:eastAsia="zh-CN"/>
        </w:rPr>
      </w:pPr>
      <w:r>
        <w:rPr>
          <w:rFonts w:hint="eastAsia"/>
          <w:color w:val="000000"/>
          <w:sz w:val="24"/>
          <w:highlight w:val="none"/>
          <w:lang w:eastAsia="zh-CN"/>
        </w:rPr>
      </w:r>
      <w:r/>
    </w:p>
    <w:p>
      <w:pPr>
        <w:pStyle w:val="809"/>
        <w:ind w:firstLine="480"/>
        <w:spacing w:line="360" w:lineRule="auto"/>
        <w:rPr>
          <w:color w:val="000000"/>
          <w:sz w:val="24"/>
          <w:highlight w:val="none"/>
        </w:rPr>
      </w:pPr>
      <w:r>
        <w:rPr>
          <w:color w:val="000000"/>
          <w:sz w:val="24"/>
          <w:highlight w:val="none"/>
        </w:rPr>
        <w:t xml:space="preserve">6.合同履行期限：</w:t>
      </w:r>
      <w:r>
        <w:rPr>
          <w:color w:val="000000"/>
          <w:sz w:val="24"/>
          <w:highlight w:val="none"/>
        </w:rPr>
      </w:r>
      <w:r/>
    </w:p>
    <w:p>
      <w:pPr>
        <w:pStyle w:val="809"/>
        <w:ind w:firstLine="480"/>
        <w:spacing w:line="360" w:lineRule="auto"/>
        <w:rPr>
          <w:rFonts w:hint="eastAsia"/>
          <w:color w:val="000000"/>
          <w:sz w:val="24"/>
          <w:highlight w:val="none"/>
        </w:rPr>
      </w:pPr>
      <w:r>
        <w:rPr>
          <w:rFonts w:hint="eastAsia"/>
          <w:color w:val="000000"/>
          <w:sz w:val="24"/>
          <w:highlight w:val="none"/>
        </w:rPr>
        <w:t xml:space="preserve">合同签订后40日历天</w:t>
      </w:r>
      <w:r>
        <w:rPr>
          <w:rFonts w:hint="eastAsia"/>
          <w:color w:val="000000"/>
          <w:sz w:val="24"/>
          <w:highlight w:val="none"/>
          <w:lang w:val="en-US" w:eastAsia="zh-CN"/>
        </w:rPr>
        <w:t xml:space="preserve">内提交调查报告</w:t>
      </w:r>
      <w:r>
        <w:rPr>
          <w:rFonts w:hint="eastAsia"/>
          <w:color w:val="000000"/>
          <w:sz w:val="24"/>
          <w:highlight w:val="none"/>
        </w:rPr>
        <w:t xml:space="preserve">。同时严格按照《优先监管地块土壤污染管控工作指南》和监测方案实施监测，每个点监测过程要求全程留痕视频资料，监测井井口设置保护装置，周边设置围栏，三年内负责监测井的维护保养。</w:t>
      </w:r>
      <w:r>
        <w:rPr>
          <w:rFonts w:hint="eastAsia"/>
          <w:color w:val="000000"/>
          <w:sz w:val="24"/>
          <w:highlight w:val="none"/>
        </w:rPr>
      </w:r>
      <w:r/>
    </w:p>
    <w:p>
      <w:pPr>
        <w:pStyle w:val="809"/>
        <w:ind w:firstLine="480"/>
        <w:spacing w:line="360" w:lineRule="auto"/>
        <w:rPr>
          <w:color w:val="000000"/>
          <w:sz w:val="24"/>
          <w:highlight w:val="none"/>
        </w:rPr>
      </w:pPr>
      <w:r>
        <w:rPr>
          <w:color w:val="000000"/>
          <w:sz w:val="24"/>
          <w:highlight w:val="none"/>
        </w:rPr>
        <w:t xml:space="preserve">7.本项目是否接受联合体：</w:t>
      </w:r>
      <w:r>
        <w:rPr>
          <w:color w:val="000000"/>
          <w:highlight w:val="none"/>
        </w:rPr>
        <w:t xml:space="preserve">□</w:t>
      </w:r>
      <w:r>
        <w:rPr>
          <w:color w:val="000000"/>
          <w:sz w:val="24"/>
          <w:highlight w:val="none"/>
        </w:rPr>
        <w:t xml:space="preserve">是  </w:t>
      </w:r>
      <w:r>
        <w:rPr>
          <w:b/>
          <w:color w:val="000000"/>
          <w:sz w:val="24"/>
          <w:highlight w:val="none"/>
        </w:rPr>
        <w:t xml:space="preserve">■</w:t>
      </w:r>
      <w:r>
        <w:rPr>
          <w:color w:val="000000"/>
          <w:sz w:val="24"/>
          <w:highlight w:val="none"/>
        </w:rPr>
        <w:t xml:space="preserve">否。</w:t>
      </w:r>
      <w:r>
        <w:rPr>
          <w:color w:val="000000"/>
          <w:sz w:val="24"/>
          <w:highlight w:val="none"/>
        </w:rPr>
      </w:r>
      <w:r/>
    </w:p>
    <w:p>
      <w:pPr>
        <w:pStyle w:val="809"/>
        <w:ind w:firstLine="480"/>
        <w:spacing w:line="360" w:lineRule="auto"/>
        <w:rPr>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：□是  </w:t>
      </w:r>
      <w:r>
        <w:rPr>
          <w:b/>
          <w:color w:val="000000"/>
          <w:sz w:val="24"/>
          <w:highlight w:val="none"/>
        </w:rPr>
        <w:t xml:space="preserve">■</w:t>
      </w:r>
      <w:r>
        <w:rPr>
          <w:color w:val="000000"/>
          <w:sz w:val="24"/>
          <w:highlight w:val="none"/>
        </w:rPr>
        <w:t xml:space="preserve">否。</w:t>
      </w:r>
      <w:r>
        <w:rPr>
          <w:color w:val="000000"/>
          <w:sz w:val="24"/>
          <w:highlight w:val="none"/>
        </w:rPr>
      </w:r>
      <w:r/>
    </w:p>
    <w:p>
      <w:pPr>
        <w:pStyle w:val="811"/>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809"/>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809"/>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80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809"/>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809"/>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09"/>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809"/>
        <w:ind w:firstLine="482"/>
        <w:spacing w:line="360" w:lineRule="auto"/>
        <w:rPr>
          <w:color w:val="000000"/>
          <w:sz w:val="24"/>
          <w:highlight w:val="none"/>
        </w:rPr>
      </w:pPr>
      <w:r>
        <w:rPr>
          <w:b/>
          <w:color w:val="000000"/>
          <w:sz w:val="24"/>
          <w:highlight w:val="none"/>
        </w:rPr>
        <w:t xml:space="preserve">■</w:t>
      </w:r>
      <w:r>
        <w:rPr>
          <w:color w:val="000000"/>
          <w:sz w:val="24"/>
          <w:highlight w:val="none"/>
        </w:rPr>
        <w:t xml:space="preserve">本项目专门面向  </w:t>
      </w:r>
      <w:r>
        <w:rPr>
          <w:b/>
          <w:color w:val="000000"/>
          <w:sz w:val="24"/>
          <w:highlight w:val="none"/>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809"/>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w:t>
      </w:r>
      <w:r>
        <w:rPr>
          <w:rFonts w:hint="eastAsia"/>
          <w:color w:val="000000"/>
          <w:sz w:val="24"/>
          <w:highlight w:val="none"/>
          <w:lang w:val="en-US" w:eastAsia="zh-CN"/>
        </w:rPr>
        <w:t xml:space="preserve">/</w:t>
      </w:r>
      <w:r>
        <w:rPr>
          <w:color w:val="000000"/>
          <w:sz w:val="24"/>
          <w:highlight w:val="none"/>
        </w:rPr>
        <w:t xml:space="preserve">__</w:t>
      </w:r>
      <w:r>
        <w:rPr>
          <w:rFonts w:hint="eastAsia"/>
          <w:color w:val="000000"/>
          <w:sz w:val="24"/>
          <w:highlight w:val="none"/>
        </w:rPr>
        <w:t xml:space="preserve">。</w:t>
      </w:r>
      <w:r>
        <w:rPr>
          <w:color w:val="000000"/>
          <w:sz w:val="24"/>
          <w:highlight w:val="none"/>
        </w:rPr>
      </w:r>
      <w:r/>
    </w:p>
    <w:p>
      <w:pPr>
        <w:pStyle w:val="809"/>
        <w:ind w:firstLine="480"/>
        <w:spacing w:line="360" w:lineRule="auto"/>
        <w:rPr>
          <w:color w:val="000000"/>
          <w:sz w:val="24"/>
          <w:highlight w:val="none"/>
        </w:rPr>
      </w:pPr>
      <w:r>
        <w:rPr>
          <w:color w:val="000000"/>
          <w:sz w:val="24"/>
          <w:highlight w:val="none"/>
        </w:rPr>
        <w:t xml:space="preserve">2.2 其它落实政府采购政策的资格要求（如有）：______</w:t>
      </w:r>
      <w:r>
        <w:rPr>
          <w:rFonts w:hint="eastAsia"/>
          <w:color w:val="000000"/>
          <w:sz w:val="24"/>
          <w:highlight w:val="none"/>
          <w:lang w:val="en-US" w:eastAsia="zh-CN"/>
        </w:rPr>
        <w:t xml:space="preserve">/</w:t>
      </w:r>
      <w:r>
        <w:rPr>
          <w:color w:val="000000"/>
          <w:sz w:val="24"/>
          <w:highlight w:val="none"/>
        </w:rPr>
        <w:t xml:space="preserve">___</w:t>
      </w:r>
      <w:r>
        <w:rPr>
          <w:rFonts w:hint="eastAsia"/>
          <w:color w:val="000000"/>
          <w:sz w:val="24"/>
          <w:highlight w:val="none"/>
        </w:rPr>
        <w:t xml:space="preserve">。</w:t>
      </w:r>
      <w:r>
        <w:rPr>
          <w:color w:val="000000"/>
          <w:sz w:val="24"/>
          <w:highlight w:val="none"/>
        </w:rPr>
      </w:r>
      <w:r/>
    </w:p>
    <w:p>
      <w:pPr>
        <w:pStyle w:val="809"/>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809"/>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w:t>
      </w:r>
      <w:r>
        <w:rPr>
          <w:color w:val="000000"/>
          <w:highlight w:val="none"/>
        </w:rPr>
        <w:t xml:space="preserve">□</w:t>
      </w:r>
      <w:r>
        <w:rPr>
          <w:color w:val="000000"/>
          <w:sz w:val="24"/>
          <w:highlight w:val="none"/>
        </w:rPr>
        <w:t xml:space="preserve">是   </w:t>
      </w:r>
      <w:r>
        <w:rPr>
          <w:b/>
          <w:color w:val="000000"/>
          <w:sz w:val="24"/>
          <w:highlight w:val="none"/>
        </w:rPr>
        <w:t xml:space="preserve">■</w:t>
      </w:r>
      <w:r>
        <w:rPr>
          <w:color w:val="000000"/>
          <w:sz w:val="24"/>
          <w:highlight w:val="none"/>
        </w:rPr>
        <w:t xml:space="preserve">否；</w:t>
      </w:r>
      <w:r>
        <w:rPr>
          <w:color w:val="000000"/>
          <w:sz w:val="24"/>
          <w:highlight w:val="none"/>
        </w:rPr>
      </w:r>
      <w:r/>
    </w:p>
    <w:p>
      <w:pPr>
        <w:pStyle w:val="809"/>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w:t>
      </w:r>
      <w:r>
        <w:rPr>
          <w:color w:val="000000"/>
          <w:sz w:val="24"/>
          <w:highlight w:val="none"/>
        </w:rPr>
      </w:r>
      <w:r/>
    </w:p>
    <w:p>
      <w:pPr>
        <w:pStyle w:val="809"/>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p>
      <w:pPr>
        <w:pStyle w:val="809"/>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highlight w:val="none"/>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809"/>
        <w:ind w:firstLine="480"/>
        <w:spacing w:line="360" w:lineRule="auto"/>
        <w:tabs>
          <w:tab w:val="left" w:pos="900" w:leader="none"/>
          <w:tab w:val="left" w:pos="1134" w:leader="none"/>
          <w:tab w:val="left" w:pos="1589" w:leader="none"/>
          <w:tab w:val="left" w:pos="5521" w:leader="none"/>
        </w:tabs>
        <w:rPr>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r>
        <w:rPr>
          <w:color w:val="000000"/>
          <w:sz w:val="24"/>
          <w:highlight w:val="none"/>
          <w:u w:val="single"/>
        </w:rPr>
      </w:r>
      <w:r/>
    </w:p>
    <w:p>
      <w:pPr>
        <w:pStyle w:val="809"/>
        <w:ind w:firstLine="480"/>
        <w:spacing w:line="360" w:lineRule="auto"/>
        <w:rPr>
          <w:i/>
          <w:iCs/>
          <w:color w:val="000000"/>
          <w:sz w:val="24"/>
          <w:highlight w:val="none"/>
          <w:u w:val="single"/>
        </w:rPr>
      </w:pPr>
      <w:r>
        <w:rPr>
          <w:i/>
          <w:iCs/>
          <w:color w:val="000000"/>
          <w:sz w:val="24"/>
          <w:highlight w:val="none"/>
          <w:u w:val="single"/>
        </w:rPr>
      </w:r>
      <w:r/>
    </w:p>
    <w:p>
      <w:pPr>
        <w:pStyle w:val="811"/>
        <w:jc w:val="left"/>
        <w:spacing w:before="0" w:line="360" w:lineRule="auto"/>
        <w:widowControl/>
        <w:rPr>
          <w:rFonts w:ascii="Times New Roman" w:hAnsi="Times New Roman" w:eastAsia="宋体"/>
          <w:color w:val="000000"/>
          <w:sz w:val="24"/>
          <w:szCs w:val="24"/>
          <w:highlight w:val="none"/>
        </w:rPr>
      </w:pPr>
      <w:r/>
      <w:bookmarkEnd w:id="11"/>
      <w:r/>
      <w:bookmarkEnd w:id="12"/>
      <w:r/>
      <w:bookmarkStart w:id="13" w:name="_Toc35393792"/>
      <w:r/>
      <w:bookmarkStart w:id="14" w:name="_Toc35393623"/>
      <w:r>
        <w:rPr>
          <w:rFonts w:ascii="Times New Roman" w:hAnsi="Times New Roman" w:eastAsia="宋体"/>
          <w:color w:val="000000"/>
          <w:sz w:val="24"/>
          <w:szCs w:val="24"/>
          <w:highlight w:val="none"/>
        </w:rPr>
        <w:t xml:space="preserve">三、获取采购文件</w:t>
      </w:r>
      <w:bookmarkEnd w:id="13"/>
      <w:r/>
      <w:bookmarkEnd w:id="14"/>
      <w:r>
        <w:rPr>
          <w:rFonts w:ascii="Times New Roman" w:hAnsi="Times New Roman" w:eastAsia="宋体"/>
          <w:color w:val="000000"/>
          <w:sz w:val="24"/>
          <w:szCs w:val="24"/>
          <w:highlight w:val="none"/>
        </w:rPr>
      </w:r>
      <w:r/>
    </w:p>
    <w:p>
      <w:pPr>
        <w:pStyle w:val="809"/>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w:t>
      </w:r>
      <w:r>
        <w:rPr>
          <w:rFonts w:hint="eastAsia"/>
          <w:color w:val="000000"/>
          <w:sz w:val="24"/>
          <w:highlight w:val="none"/>
          <w:lang w:val="en-US" w:eastAsia="zh-CN" w:bidi="ar"/>
        </w:rPr>
        <w:t xml:space="preserve">采购</w:t>
      </w:r>
      <w:r>
        <w:rPr>
          <w:rFonts w:hint="eastAsia"/>
          <w:color w:val="000000"/>
          <w:sz w:val="24"/>
          <w:highlight w:val="none"/>
          <w:lang w:bidi="ar"/>
        </w:rPr>
        <w:t xml:space="preserve">公告发布之日起5个工作日</w:t>
      </w:r>
      <w:r>
        <w:rPr>
          <w:color w:val="000000"/>
          <w:sz w:val="24"/>
          <w:highlight w:val="none"/>
          <w:lang w:bidi="ar"/>
        </w:rPr>
      </w:r>
      <w:r/>
    </w:p>
    <w:p>
      <w:pPr>
        <w:pStyle w:val="809"/>
        <w:ind w:firstLine="480"/>
        <w:spacing w:line="360" w:lineRule="auto"/>
        <w:rPr>
          <w:color w:val="000000"/>
          <w:sz w:val="24"/>
          <w:highlight w:val="none"/>
        </w:rPr>
      </w:pPr>
      <w:r>
        <w:rPr>
          <w:color w:val="000000"/>
          <w:sz w:val="24"/>
          <w:highlight w:val="none"/>
          <w:lang w:bidi="ar"/>
        </w:rPr>
        <w:t xml:space="preserve">2.地点：</w:t>
      </w:r>
      <w:r>
        <w:rPr>
          <w:rFonts w:hint="eastAsia"/>
          <w:color w:val="000000"/>
          <w:sz w:val="24"/>
          <w:highlight w:val="none"/>
          <w:lang w:bidi="ar"/>
        </w:rPr>
        <w:t xml:space="preserve">“苏采云”政府采购一体化平台</w:t>
      </w:r>
      <w:r>
        <w:rPr>
          <w:color w:val="000000"/>
          <w:sz w:val="24"/>
          <w:highlight w:val="none"/>
        </w:rPr>
      </w:r>
      <w:r/>
    </w:p>
    <w:p>
      <w:pPr>
        <w:pStyle w:val="809"/>
        <w:ind w:firstLine="480"/>
        <w:jc w:val="left"/>
        <w:spacing w:line="360" w:lineRule="auto"/>
        <w:widowControl/>
        <w:rPr>
          <w:color w:val="000000"/>
          <w:sz w:val="24"/>
          <w:highlight w:val="none"/>
          <w:lang w:bidi="ar"/>
        </w:rPr>
      </w:pPr>
      <w:r>
        <w:rPr>
          <w:color w:val="000000"/>
          <w:sz w:val="24"/>
          <w:highlight w:val="none"/>
          <w:lang w:bidi="ar"/>
        </w:rPr>
        <w:t xml:space="preserve">3.方式：</w:t>
      </w:r>
      <w:r>
        <w:rPr>
          <w:rFonts w:hint="eastAsia" w:ascii="宋体" w:hAnsi="宋体" w:cs="宋体"/>
          <w:color w:val="000000"/>
          <w:sz w:val="24"/>
          <w:highlight w:val="none"/>
        </w:rPr>
        <w:t xml:space="preserve">供应商完成注册并办理江苏政府采购专用CA证书后登录“苏采云” 政府采购一体化平台（http://jszfcg.jsczt.cn/jszc/login）获取电子版磋商文件</w:t>
      </w:r>
      <w:r>
        <w:rPr>
          <w:color w:val="000000"/>
          <w:sz w:val="24"/>
          <w:highlight w:val="none"/>
          <w:lang w:bidi="ar"/>
        </w:rPr>
        <w:t xml:space="preserve">。</w:t>
      </w:r>
      <w:r>
        <w:rPr>
          <w:color w:val="000000"/>
          <w:sz w:val="24"/>
          <w:highlight w:val="none"/>
          <w:lang w:bidi="ar"/>
        </w:rPr>
      </w:r>
      <w:r/>
    </w:p>
    <w:p>
      <w:pPr>
        <w:pStyle w:val="809"/>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09"/>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811"/>
        <w:jc w:val="left"/>
        <w:spacing w:before="0" w:line="360" w:lineRule="auto"/>
        <w:widowControl/>
        <w:rPr>
          <w:rFonts w:ascii="Times New Roman" w:hAnsi="Times New Roman" w:eastAsia="宋体"/>
          <w:color w:val="000000"/>
          <w:sz w:val="24"/>
          <w:szCs w:val="24"/>
          <w:highlight w:val="none"/>
        </w:rPr>
      </w:pPr>
      <w:r/>
      <w:bookmarkStart w:id="15" w:name="_Toc35393793"/>
      <w:r/>
      <w:bookmarkStart w:id="16" w:name="_Toc28359082"/>
      <w:r/>
      <w:bookmarkStart w:id="17" w:name="_Toc35393624"/>
      <w:r/>
      <w:bookmarkStart w:id="18" w:name="_Toc28359005"/>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809"/>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rPr>
        <w:t xml:space="preserve">2025年11月21日9</w:t>
      </w:r>
      <w:r>
        <w:rPr>
          <w:color w:val="000000"/>
          <w:sz w:val="24"/>
          <w:highlight w:val="none"/>
          <w:lang w:bidi="ar"/>
        </w:rPr>
        <w:t xml:space="preserve">点</w:t>
      </w:r>
      <w:r>
        <w:rPr>
          <w:rFonts w:hint="eastAsia"/>
          <w:color w:val="000000"/>
          <w:sz w:val="24"/>
          <w:highlight w:val="none"/>
          <w:lang w:val="en-US" w:eastAsia="zh-CN"/>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09"/>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本项目采用不见面交易方式，无需到现场提交，供应商登录常州市政府采购业务管理平台供应商端，通过系统在线提交电子响应文件</w:t>
      </w:r>
      <w:r>
        <w:rPr>
          <w:color w:val="000000"/>
          <w:sz w:val="24"/>
          <w:highlight w:val="none"/>
          <w:lang w:val="zh-TW" w:bidi="ar"/>
        </w:rPr>
        <w:t xml:space="preserve">。</w:t>
      </w:r>
      <w:r>
        <w:rPr>
          <w:color w:val="000000"/>
          <w:sz w:val="24"/>
          <w:highlight w:val="none"/>
          <w:lang w:val="zh-TW" w:bidi="ar"/>
        </w:rPr>
      </w:r>
      <w:r/>
    </w:p>
    <w:p>
      <w:pPr>
        <w:pStyle w:val="809"/>
        <w:ind w:firstLine="480"/>
        <w:spacing w:line="360" w:lineRule="auto"/>
        <w:rPr>
          <w:color w:val="000000"/>
          <w:sz w:val="24"/>
          <w:highlight w:val="none"/>
          <w:lang w:val="zh-TW" w:bidi="ar"/>
        </w:rPr>
      </w:pPr>
      <w:r>
        <w:rPr>
          <w:color w:val="000000"/>
          <w:sz w:val="24"/>
          <w:highlight w:val="none"/>
          <w:lang w:val="zh-TW" w:bidi="ar"/>
        </w:rPr>
      </w:r>
      <w:r/>
    </w:p>
    <w:p>
      <w:pPr>
        <w:pStyle w:val="811"/>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809"/>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000000"/>
          <w:sz w:val="24"/>
          <w:highlight w:val="none"/>
          <w:lang w:val="en-US" w:eastAsia="zh-CN"/>
        </w:rPr>
        <w:t xml:space="preserve">2025年11月21日9</w:t>
      </w:r>
      <w:r>
        <w:rPr>
          <w:color w:val="000000"/>
          <w:sz w:val="24"/>
          <w:highlight w:val="none"/>
          <w:lang w:bidi="ar"/>
        </w:rPr>
        <w:t xml:space="preserve">点</w:t>
      </w:r>
      <w:r>
        <w:rPr>
          <w:rFonts w:hint="eastAsia"/>
          <w:color w:val="000000"/>
          <w:sz w:val="24"/>
          <w:highlight w:val="none"/>
          <w:lang w:val="en-US" w:eastAsia="zh-CN"/>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09"/>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本项目采用不见面交易方式，无需到现场提交，供应商登录常州市政府采购业务管理平台供应商端，通过系统在线提交电子响应文件</w:t>
      </w:r>
      <w:r>
        <w:rPr>
          <w:color w:val="000000"/>
          <w:sz w:val="24"/>
          <w:highlight w:val="none"/>
          <w:lang w:val="zh-TW" w:bidi="ar"/>
        </w:rPr>
        <w:t xml:space="preserve">。</w:t>
      </w:r>
      <w:r>
        <w:rPr>
          <w:color w:val="000000"/>
          <w:sz w:val="24"/>
          <w:highlight w:val="none"/>
          <w:lang w:val="zh-TW" w:bidi="ar"/>
        </w:rPr>
      </w:r>
      <w:r/>
    </w:p>
    <w:p>
      <w:pPr>
        <w:pStyle w:val="809"/>
        <w:ind w:firstLine="480"/>
        <w:spacing w:line="360" w:lineRule="auto"/>
        <w:rPr>
          <w:bCs/>
          <w:color w:val="000000"/>
          <w:sz w:val="24"/>
          <w:highlight w:val="none"/>
          <w:u w:val="single"/>
        </w:rPr>
      </w:pPr>
      <w:r>
        <w:rPr>
          <w:bCs/>
          <w:color w:val="000000"/>
          <w:sz w:val="24"/>
          <w:highlight w:val="none"/>
          <w:u w:val="single"/>
        </w:rPr>
      </w:r>
      <w:r/>
    </w:p>
    <w:p>
      <w:pPr>
        <w:pStyle w:val="811"/>
        <w:jc w:val="left"/>
        <w:spacing w:before="0" w:line="360" w:lineRule="auto"/>
        <w:rPr>
          <w:rFonts w:ascii="Times New Roman" w:hAnsi="Times New Roman" w:eastAsia="宋体"/>
          <w:color w:val="000000"/>
          <w:sz w:val="24"/>
          <w:szCs w:val="24"/>
          <w:highlight w:val="none"/>
        </w:rPr>
      </w:pPr>
      <w:r/>
      <w:bookmarkStart w:id="19" w:name="_Toc35393794"/>
      <w:r/>
      <w:bookmarkStart w:id="20" w:name="_Toc28359084"/>
      <w:r/>
      <w:bookmarkStart w:id="21" w:name="_Toc35393625"/>
      <w:r/>
      <w:bookmarkStart w:id="22" w:name="_Toc28359007"/>
      <w:r>
        <w:rPr>
          <w:rFonts w:ascii="Times New Roman" w:hAnsi="Times New Roman" w:eastAsia="宋体"/>
          <w:color w:val="000000"/>
          <w:sz w:val="24"/>
          <w:szCs w:val="24"/>
          <w:highlight w:val="none"/>
        </w:rPr>
        <w:t xml:space="preserve">六、公告期限</w:t>
      </w:r>
      <w:bookmarkEnd w:id="19"/>
      <w:r/>
      <w:bookmarkEnd w:id="20"/>
      <w:r/>
      <w:bookmarkEnd w:id="21"/>
      <w:r/>
      <w:bookmarkEnd w:id="22"/>
      <w:r>
        <w:rPr>
          <w:rFonts w:ascii="Times New Roman" w:hAnsi="Times New Roman" w:eastAsia="宋体"/>
          <w:color w:val="000000"/>
          <w:sz w:val="24"/>
          <w:szCs w:val="24"/>
          <w:highlight w:val="none"/>
        </w:rPr>
      </w:r>
      <w:r/>
    </w:p>
    <w:p>
      <w:pPr>
        <w:pStyle w:val="809"/>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809"/>
        <w:ind w:firstLine="480"/>
        <w:spacing w:line="360" w:lineRule="auto"/>
        <w:rPr>
          <w:color w:val="000000"/>
          <w:sz w:val="24"/>
          <w:highlight w:val="none"/>
        </w:rPr>
      </w:pPr>
      <w:r>
        <w:rPr>
          <w:color w:val="000000"/>
          <w:sz w:val="24"/>
          <w:highlight w:val="none"/>
        </w:rPr>
      </w:r>
      <w:r/>
    </w:p>
    <w:p>
      <w:pPr>
        <w:pStyle w:val="811"/>
        <w:jc w:val="left"/>
        <w:spacing w:before="0" w:line="360" w:lineRule="auto"/>
        <w:rPr>
          <w:rFonts w:ascii="Times New Roman" w:hAnsi="Times New Roman" w:eastAsia="宋体"/>
          <w:color w:val="000000"/>
          <w:sz w:val="24"/>
          <w:szCs w:val="24"/>
          <w:highlight w:val="none"/>
        </w:rPr>
      </w:pPr>
      <w:r/>
      <w:bookmarkStart w:id="23" w:name="_Toc35393795"/>
      <w:r/>
      <w:bookmarkStart w:id="24" w:name="_Toc35393626"/>
      <w:r>
        <w:rPr>
          <w:rFonts w:ascii="Times New Roman" w:hAnsi="Times New Roman" w:eastAsia="宋体"/>
          <w:color w:val="000000"/>
          <w:sz w:val="24"/>
          <w:szCs w:val="24"/>
          <w:highlight w:val="none"/>
        </w:rPr>
        <w:t xml:space="preserve">七、其他补充事宜</w:t>
      </w:r>
      <w:bookmarkEnd w:id="23"/>
      <w:r/>
      <w:bookmarkEnd w:id="24"/>
      <w:r>
        <w:rPr>
          <w:rFonts w:ascii="Times New Roman" w:hAnsi="Times New Roman" w:eastAsia="宋体"/>
          <w:color w:val="000000"/>
          <w:sz w:val="24"/>
          <w:szCs w:val="24"/>
          <w:highlight w:val="none"/>
        </w:rPr>
      </w:r>
      <w:r/>
    </w:p>
    <w:p>
      <w:pPr>
        <w:pStyle w:val="809"/>
        <w:ind w:firstLine="480"/>
        <w:spacing w:line="360" w:lineRule="auto"/>
        <w:rPr>
          <w:color w:val="000000"/>
          <w:sz w:val="24"/>
          <w:highlight w:val="none"/>
        </w:rPr>
      </w:pPr>
      <w:r>
        <w:rPr>
          <w:color w:val="000000"/>
          <w:sz w:val="24"/>
          <w:highlight w:val="none"/>
        </w:rPr>
        <w:t xml:space="preserve">1.本项目需要落实的政府采购政策：</w:t>
      </w:r>
      <w:r>
        <w:rPr>
          <w:rFonts w:hint="eastAsia" w:ascii="宋体" w:hAnsi="宋体" w:cs="宋体"/>
          <w:color w:val="000000"/>
          <w:sz w:val="24"/>
          <w:highlight w:val="none"/>
          <w:u w:val="single"/>
        </w:rPr>
        <w:t xml:space="preserve">扶持中小企业、监狱企业、残疾人福利企业</w:t>
      </w:r>
      <w:r>
        <w:rPr>
          <w:color w:val="000000"/>
          <w:sz w:val="24"/>
          <w:highlight w:val="none"/>
          <w:lang w:bidi="ar"/>
        </w:rPr>
        <w:t xml:space="preserve">。</w:t>
      </w:r>
      <w:r>
        <w:rPr>
          <w:color w:val="000000"/>
          <w:sz w:val="24"/>
          <w:highlight w:val="none"/>
        </w:rPr>
      </w:r>
      <w:r/>
    </w:p>
    <w:p>
      <w:pPr>
        <w:pStyle w:val="809"/>
        <w:ind w:firstLine="480"/>
        <w:jc w:val="left"/>
        <w:spacing w:line="360" w:lineRule="auto"/>
        <w:widowControl/>
        <w:rPr>
          <w:bCs/>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.本项目采用</w:t>
      </w:r>
      <w:r>
        <w:rPr>
          <w:rFonts w:hint="eastAsia"/>
          <w:color w:val="000000"/>
          <w:sz w:val="24"/>
          <w:highlight w:val="none"/>
          <w:lang w:bidi="ar"/>
        </w:rPr>
        <w:t xml:space="preserve">不见面交易</w:t>
      </w:r>
      <w:r>
        <w:rPr>
          <w:color w:val="000000"/>
          <w:sz w:val="24"/>
          <w:highlight w:val="none"/>
          <w:lang w:bidi="ar"/>
        </w:rPr>
        <w:t xml:space="preserve">方式，请供应商认真学习</w:t>
      </w:r>
      <w:r>
        <w:rPr>
          <w:rFonts w:hint="eastAsia" w:ascii="宋体" w:hAnsi="宋体" w:cs="宋体"/>
          <w:color w:val="000000"/>
          <w:sz w:val="24"/>
          <w:highlight w:val="none"/>
        </w:rPr>
        <w:t xml:space="preserve">“苏采云”</w:t>
      </w:r>
      <w:r>
        <w:rPr>
          <w:color w:val="000000"/>
          <w:sz w:val="24"/>
          <w:highlight w:val="none"/>
          <w:lang w:bidi="ar"/>
        </w:rPr>
        <w:t xml:space="preserve">的相关操作手册，办理CA认证证书、进行</w:t>
      </w:r>
      <w:r>
        <w:rPr>
          <w:rFonts w:hint="eastAsia" w:ascii="宋体" w:hAnsi="宋体" w:cs="宋体"/>
          <w:color w:val="000000"/>
          <w:sz w:val="24"/>
          <w:highlight w:val="none"/>
        </w:rPr>
        <w:t xml:space="preserve">“苏采云”政府采购一体化平台</w:t>
      </w:r>
      <w:r>
        <w:rPr>
          <w:color w:val="000000"/>
          <w:sz w:val="24"/>
          <w:highlight w:val="none"/>
          <w:lang w:bidi="ar"/>
        </w:rPr>
        <w:t xml:space="preserve">注册绑定，并认真核实</w:t>
      </w:r>
      <w:r>
        <w:rPr>
          <w:bCs/>
          <w:color w:val="000000"/>
          <w:sz w:val="24"/>
          <w:highlight w:val="none"/>
          <w:lang w:bidi="ar"/>
        </w:rPr>
        <w:t xml:space="preserve">数字认证证书情况确认是否符合本项目电子化采购流程要求。</w:t>
      </w:r>
      <w:r>
        <w:rPr>
          <w:bCs/>
          <w:color w:val="000000"/>
          <w:sz w:val="24"/>
          <w:highlight w:val="none"/>
          <w:lang w:bidi="ar"/>
        </w:rPr>
      </w:r>
      <w:r/>
    </w:p>
    <w:p>
      <w:pPr>
        <w:pStyle w:val="809"/>
        <w:ind w:firstLine="480"/>
        <w:spacing w:line="360" w:lineRule="auto"/>
        <w:rPr>
          <w:rFonts w:hint="eastAsia"/>
          <w:color w:val="000000"/>
          <w:sz w:val="24"/>
          <w:highlight w:val="none"/>
          <w:lang w:bidi="ar"/>
        </w:rPr>
      </w:pPr>
      <w:r>
        <w:rPr>
          <w:rFonts w:hint="eastAsia"/>
          <w:color w:val="000000"/>
          <w:sz w:val="24"/>
          <w:highlight w:val="none"/>
          <w:lang w:bidi="ar"/>
        </w:rPr>
        <w:t xml:space="preserve">技术保障服务：“苏采云”系统使用期间，由系统开发商江苏富深协通科技股份有限公司提供技术保障服务，指导软件操作，维护系统稳定运行。</w:t>
      </w:r>
      <w:r>
        <w:rPr>
          <w:rFonts w:hint="eastAsia"/>
          <w:color w:val="000000"/>
          <w:sz w:val="24"/>
          <w:highlight w:val="none"/>
          <w:lang w:bidi="ar"/>
        </w:rPr>
      </w:r>
      <w:r/>
    </w:p>
    <w:p>
      <w:pPr>
        <w:pStyle w:val="809"/>
        <w:ind w:firstLine="480"/>
        <w:spacing w:line="360" w:lineRule="auto"/>
        <w:rPr>
          <w:color w:val="000000"/>
          <w:sz w:val="24"/>
          <w:highlight w:val="none"/>
          <w:lang w:bidi="ar"/>
        </w:rPr>
      </w:pPr>
      <w:r>
        <w:rPr>
          <w:rFonts w:hint="eastAsia"/>
          <w:color w:val="000000"/>
          <w:sz w:val="24"/>
          <w:highlight w:val="none"/>
          <w:lang w:bidi="ar"/>
        </w:rPr>
        <w:t xml:space="preserve">运维保障联系方式：0519-85588210、0519-85588163</w:t>
      </w:r>
      <w:r>
        <w:rPr>
          <w:color w:val="000000"/>
          <w:sz w:val="24"/>
          <w:highlight w:val="none"/>
          <w:lang w:bidi="ar"/>
        </w:rPr>
      </w:r>
      <w:r/>
    </w:p>
    <w:p>
      <w:pPr>
        <w:pStyle w:val="809"/>
        <w:ind w:firstLine="480"/>
        <w:jc w:val="left"/>
        <w:spacing w:line="360" w:lineRule="auto"/>
        <w:widowControl/>
        <w:rPr>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.1办理CA认证证书</w:t>
      </w:r>
      <w:r>
        <w:rPr>
          <w:color w:val="000000"/>
          <w:sz w:val="24"/>
          <w:highlight w:val="none"/>
          <w:lang w:bidi="ar"/>
        </w:rPr>
      </w:r>
      <w:r/>
    </w:p>
    <w:p>
      <w:pPr>
        <w:pStyle w:val="809"/>
        <w:ind w:firstLine="480"/>
        <w:jc w:val="left"/>
        <w:spacing w:line="360" w:lineRule="auto"/>
        <w:widowControl/>
        <w:rPr>
          <w:color w:val="000000"/>
          <w:sz w:val="24"/>
          <w:highlight w:val="none"/>
        </w:rPr>
      </w:pPr>
      <w:r>
        <w:rPr>
          <w:rFonts w:hint="eastAsia"/>
          <w:color w:val="000000"/>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sz w:val="24"/>
          <w:highlight w:val="none"/>
          <w:lang w:bidi="ar"/>
        </w:rPr>
        <w:t xml:space="preserve">。</w:t>
      </w:r>
      <w:r>
        <w:rPr>
          <w:color w:val="000000"/>
          <w:sz w:val="24"/>
          <w:highlight w:val="none"/>
        </w:rPr>
      </w:r>
      <w:r/>
    </w:p>
    <w:p>
      <w:pPr>
        <w:pStyle w:val="809"/>
        <w:ind w:firstLine="480"/>
        <w:spacing w:line="360" w:lineRule="auto"/>
        <w:rPr>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.2注册</w:t>
      </w:r>
      <w:r>
        <w:rPr>
          <w:color w:val="000000"/>
          <w:sz w:val="24"/>
          <w:highlight w:val="none"/>
          <w:lang w:bidi="ar"/>
        </w:rPr>
      </w:r>
      <w:r/>
    </w:p>
    <w:p>
      <w:pPr>
        <w:pStyle w:val="809"/>
        <w:ind w:firstLine="480"/>
        <w:spacing w:line="360" w:lineRule="auto"/>
        <w:rPr>
          <w:color w:val="000000"/>
          <w:sz w:val="24"/>
          <w:highlight w:val="none"/>
        </w:rPr>
      </w:pPr>
      <w:r>
        <w:rPr>
          <w:rFonts w:hint="eastAsia"/>
          <w:color w:val="000000"/>
          <w:sz w:val="24"/>
          <w:highlight w:val="none"/>
        </w:rPr>
        <w:t xml:space="preserve">供应商登录常州市政府采购网“下载中心”-“苏采云”系统（供应商）操作手册下载相关操作手册、操作视频等，查阅后进行自助注册。</w:t>
      </w:r>
      <w:r>
        <w:rPr>
          <w:color w:val="000000"/>
          <w:sz w:val="24"/>
          <w:highlight w:val="none"/>
        </w:rPr>
      </w:r>
      <w:r/>
    </w:p>
    <w:p>
      <w:pPr>
        <w:pStyle w:val="809"/>
        <w:ind w:firstLine="480"/>
        <w:jc w:val="left"/>
        <w:spacing w:line="360" w:lineRule="auto"/>
        <w:widowControl/>
        <w:rPr>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.3</w:t>
      </w:r>
      <w:r>
        <w:rPr>
          <w:rFonts w:hint="eastAsia"/>
          <w:color w:val="000000"/>
          <w:sz w:val="24"/>
          <w:highlight w:val="none"/>
          <w:lang w:bidi="ar"/>
        </w:rPr>
        <w:t xml:space="preserve">控件</w:t>
      </w:r>
      <w:r>
        <w:rPr>
          <w:color w:val="000000"/>
          <w:sz w:val="24"/>
          <w:highlight w:val="none"/>
          <w:lang w:bidi="ar"/>
        </w:rPr>
        <w:t xml:space="preserve">、客户端下载</w:t>
      </w:r>
      <w:r>
        <w:rPr>
          <w:color w:val="000000"/>
          <w:sz w:val="24"/>
          <w:highlight w:val="none"/>
          <w:lang w:bidi="ar"/>
        </w:rPr>
      </w:r>
      <w:r/>
    </w:p>
    <w:p>
      <w:pPr>
        <w:pStyle w:val="809"/>
        <w:ind w:firstLine="480"/>
        <w:spacing w:line="360" w:lineRule="auto"/>
        <w:rPr>
          <w:rFonts w:hint="eastAsia"/>
          <w:color w:val="000000"/>
          <w:sz w:val="24"/>
          <w:highlight w:val="none"/>
          <w:lang w:bidi="ar"/>
        </w:rPr>
      </w:pPr>
      <w:r>
        <w:rPr>
          <w:rFonts w:hint="eastAsia"/>
          <w:color w:val="000000"/>
          <w:sz w:val="24"/>
          <w:highlight w:val="none"/>
          <w:lang w:bidi="ar"/>
        </w:rPr>
        <w:t xml:space="preserve">供应商登录常州市政府采购网“下载中心”-政府采购管理交易系统（苏采云）CA及签章控件驱动下载相关控件及客户端。</w:t>
      </w:r>
      <w:r>
        <w:rPr>
          <w:rFonts w:hint="eastAsia"/>
          <w:color w:val="000000"/>
          <w:sz w:val="24"/>
          <w:highlight w:val="none"/>
          <w:lang w:bidi="ar"/>
        </w:rPr>
      </w:r>
      <w:r/>
    </w:p>
    <w:p>
      <w:pPr>
        <w:pStyle w:val="809"/>
        <w:ind w:firstLine="480"/>
        <w:spacing w:line="360" w:lineRule="auto"/>
        <w:rPr>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.4 获取电子磋商文件</w:t>
      </w:r>
      <w:r>
        <w:rPr>
          <w:color w:val="000000"/>
          <w:sz w:val="24"/>
          <w:highlight w:val="none"/>
          <w:lang w:bidi="ar"/>
        </w:rPr>
      </w:r>
      <w:r/>
    </w:p>
    <w:p>
      <w:pPr>
        <w:pStyle w:val="809"/>
        <w:ind w:firstLine="480"/>
        <w:spacing w:line="360" w:lineRule="auto"/>
        <w:rPr>
          <w:rFonts w:hint="eastAsia"/>
          <w:color w:val="000000"/>
          <w:sz w:val="24"/>
          <w:highlight w:val="none"/>
          <w:lang w:bidi="ar"/>
        </w:rPr>
      </w:pPr>
      <w:r>
        <w:rPr>
          <w:rFonts w:hint="eastAsia"/>
          <w:color w:val="000000"/>
          <w:sz w:val="24"/>
          <w:highlight w:val="none"/>
          <w:lang w:bidi="ar"/>
        </w:rPr>
        <w:t xml:space="preserve">供应商持CA数字认证证书登录“苏采云”政府采购一体化平台获取电子磋商文件。未在规定期限内通过“苏采云”政府采购一体化平台获取磋商文件的响应无效。</w:t>
      </w:r>
      <w:r>
        <w:rPr>
          <w:rFonts w:hint="eastAsia"/>
          <w:color w:val="000000"/>
          <w:sz w:val="24"/>
          <w:highlight w:val="none"/>
          <w:lang w:bidi="ar"/>
        </w:rPr>
      </w:r>
      <w:r/>
    </w:p>
    <w:p>
      <w:pPr>
        <w:pStyle w:val="809"/>
        <w:ind w:firstLine="480"/>
        <w:spacing w:line="360" w:lineRule="auto"/>
        <w:rPr>
          <w:color w:val="000000"/>
          <w:sz w:val="24"/>
          <w:highlight w:val="none"/>
          <w:lang w:bidi="ar"/>
        </w:rPr>
      </w:pPr>
      <w:r>
        <w:rPr>
          <w:rFonts w:hint="eastAsia"/>
          <w:color w:val="000000"/>
          <w:sz w:val="24"/>
          <w:highlight w:val="none"/>
          <w:lang w:bidi="ar"/>
        </w:rPr>
        <w:t xml:space="preserve">2</w:t>
      </w:r>
      <w:r>
        <w:rPr>
          <w:color w:val="000000"/>
          <w:sz w:val="24"/>
          <w:highlight w:val="none"/>
          <w:lang w:bidi="ar"/>
        </w:rPr>
        <w:t xml:space="preserve">.5编制电子响应文件</w:t>
      </w:r>
      <w:r>
        <w:rPr>
          <w:color w:val="000000"/>
          <w:sz w:val="24"/>
          <w:highlight w:val="none"/>
          <w:lang w:bidi="ar"/>
        </w:rPr>
      </w:r>
      <w:r/>
    </w:p>
    <w:p>
      <w:pPr>
        <w:pStyle w:val="809"/>
        <w:ind w:firstLine="480"/>
        <w:spacing w:line="360" w:lineRule="auto"/>
        <w:rPr>
          <w:color w:val="000000"/>
          <w:sz w:val="24"/>
          <w:highlight w:val="none"/>
          <w:lang w:bidi="ar"/>
        </w:rPr>
      </w:pPr>
      <w:r>
        <w:rPr>
          <w:rFonts w:hint="eastAsia"/>
          <w:color w:val="000000"/>
          <w:sz w:val="24"/>
          <w:highlight w:val="none"/>
          <w:lang w:bidi="ar"/>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color w:val="000000"/>
          <w:sz w:val="24"/>
          <w:highlight w:val="none"/>
          <w:lang w:bidi="ar"/>
        </w:rPr>
      </w:r>
      <w:r/>
    </w:p>
    <w:p>
      <w:pPr>
        <w:pStyle w:val="809"/>
        <w:ind w:firstLine="480"/>
        <w:jc w:val="left"/>
        <w:spacing w:line="360" w:lineRule="auto"/>
        <w:widowControl/>
        <w:rPr>
          <w:color w:val="000000"/>
          <w:sz w:val="24"/>
          <w:highlight w:val="none"/>
          <w:lang w:val="zh-TW" w:bidi="ar"/>
        </w:rPr>
      </w:pPr>
      <w:r>
        <w:rPr>
          <w:rFonts w:hint="eastAsia"/>
          <w:color w:val="000000"/>
          <w:sz w:val="24"/>
          <w:highlight w:val="none"/>
          <w:lang w:bidi="ar"/>
        </w:rPr>
        <w:t xml:space="preserve">2</w:t>
      </w:r>
      <w:r>
        <w:rPr>
          <w:color w:val="000000"/>
          <w:sz w:val="24"/>
          <w:highlight w:val="none"/>
          <w:lang w:val="zh-TW" w:eastAsia="zh-TW" w:bidi="ar"/>
        </w:rPr>
        <w:t xml:space="preserve">.6</w:t>
      </w:r>
      <w:r>
        <w:rPr>
          <w:color w:val="000000"/>
          <w:sz w:val="24"/>
          <w:highlight w:val="none"/>
          <w:lang w:val="zh-TW" w:bidi="ar"/>
        </w:rPr>
        <w:t xml:space="preserve">提交电子响应文件</w:t>
      </w:r>
      <w:r>
        <w:rPr>
          <w:color w:val="000000"/>
          <w:sz w:val="24"/>
          <w:highlight w:val="none"/>
          <w:lang w:val="zh-TW" w:bidi="ar"/>
        </w:rPr>
      </w:r>
      <w:r/>
    </w:p>
    <w:p>
      <w:pPr>
        <w:pStyle w:val="809"/>
        <w:ind w:firstLine="480"/>
        <w:jc w:val="left"/>
        <w:spacing w:line="360" w:lineRule="auto"/>
        <w:widowControl/>
        <w:rPr>
          <w:rFonts w:hint="eastAsia"/>
          <w:color w:val="000000"/>
          <w:sz w:val="24"/>
          <w:highlight w:val="none"/>
          <w:lang w:bidi="ar"/>
        </w:rPr>
      </w:pPr>
      <w:r>
        <w:rPr>
          <w:rFonts w:hint="eastAsia"/>
          <w:color w:val="000000"/>
          <w:sz w:val="24"/>
          <w:highlight w:val="none"/>
          <w:lang w:bidi="ar"/>
        </w:rPr>
        <w:t xml:space="preserve">供应商应于响应截止时间前在“苏采云”政府采购一体化平台提交电子响应文件，上传电子响应文件过程中请保持与互联网的连接畅通。</w:t>
      </w:r>
      <w:r>
        <w:rPr>
          <w:rFonts w:hint="eastAsia"/>
          <w:color w:val="000000"/>
          <w:sz w:val="24"/>
          <w:highlight w:val="none"/>
          <w:lang w:bidi="ar"/>
        </w:rPr>
      </w:r>
      <w:r/>
    </w:p>
    <w:p>
      <w:pPr>
        <w:pStyle w:val="809"/>
        <w:ind w:firstLine="480"/>
        <w:jc w:val="left"/>
        <w:spacing w:line="360" w:lineRule="auto"/>
        <w:widowControl/>
        <w:rPr>
          <w:color w:val="000000"/>
          <w:sz w:val="24"/>
          <w:highlight w:val="none"/>
          <w:lang w:eastAsia="zh-TW" w:bidi="ar"/>
        </w:rPr>
      </w:pPr>
      <w:r>
        <w:rPr>
          <w:rFonts w:hint="eastAsia"/>
          <w:color w:val="000000"/>
          <w:sz w:val="24"/>
          <w:highlight w:val="none"/>
          <w:lang w:bidi="ar"/>
        </w:rPr>
        <w:t xml:space="preserve">2</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rPr>
          <w:color w:val="000000"/>
          <w:sz w:val="24"/>
          <w:highlight w:val="none"/>
          <w:lang w:eastAsia="zh-TW" w:bidi="ar"/>
        </w:rPr>
      </w:r>
      <w:r/>
    </w:p>
    <w:p>
      <w:pPr>
        <w:pStyle w:val="809"/>
        <w:ind w:firstLine="480"/>
        <w:spacing w:line="360" w:lineRule="auto"/>
        <w:rPr>
          <w:rFonts w:hint="eastAsia"/>
          <w:color w:val="000000"/>
          <w:sz w:val="24"/>
          <w:highlight w:val="none"/>
          <w:lang w:bidi="ar"/>
        </w:rPr>
      </w:pPr>
      <w:r>
        <w:rPr>
          <w:rFonts w:hint="eastAsia"/>
          <w:color w:val="000000"/>
          <w:sz w:val="24"/>
          <w:highlight w:val="none"/>
          <w:lang w:bidi="ar"/>
        </w:rPr>
        <w:t xml:space="preserve">供应商使用CA认证证书登录“苏采云”政府采购一体化平台进行电子化不见面开标。 </w:t>
      </w:r>
      <w:r>
        <w:rPr>
          <w:rFonts w:hint="eastAsia"/>
          <w:color w:val="000000"/>
          <w:sz w:val="24"/>
          <w:highlight w:val="none"/>
          <w:lang w:bidi="ar"/>
        </w:rPr>
      </w:r>
      <w:r/>
    </w:p>
    <w:p>
      <w:pPr>
        <w:pStyle w:val="809"/>
        <w:ind w:firstLine="480"/>
        <w:spacing w:line="360" w:lineRule="auto"/>
        <w:rPr>
          <w:rFonts w:hint="eastAsia"/>
          <w:color w:val="000000"/>
          <w:sz w:val="24"/>
          <w:highlight w:val="none"/>
          <w:lang w:val="zh-TW" w:bidi="ar"/>
        </w:rPr>
      </w:pPr>
      <w:r>
        <w:rPr>
          <w:rFonts w:hint="eastAsia"/>
          <w:color w:val="000000"/>
          <w:sz w:val="24"/>
          <w:highlight w:val="none"/>
          <w:lang w:bidi="ar"/>
        </w:rPr>
        <w:t xml:space="preserve">2</w:t>
      </w:r>
      <w:r>
        <w:rPr>
          <w:rFonts w:hint="eastAsia"/>
          <w:color w:val="000000"/>
          <w:sz w:val="24"/>
          <w:highlight w:val="none"/>
          <w:lang w:val="zh-TW" w:bidi="ar"/>
        </w:rPr>
        <w:t xml:space="preserve">.8注意事项</w:t>
      </w:r>
      <w:r>
        <w:rPr>
          <w:rFonts w:hint="eastAsia"/>
          <w:color w:val="000000"/>
          <w:sz w:val="24"/>
          <w:highlight w:val="none"/>
          <w:lang w:val="zh-TW" w:bidi="ar"/>
        </w:rPr>
      </w:r>
      <w:r/>
    </w:p>
    <w:p>
      <w:pPr>
        <w:pStyle w:val="809"/>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rPr>
          <w:color w:val="000000"/>
          <w:sz w:val="24"/>
          <w:highlight w:val="none"/>
          <w:lang w:eastAsia="zh-TW"/>
        </w:rPr>
      </w:r>
      <w:r/>
    </w:p>
    <w:p>
      <w:pPr>
        <w:pStyle w:val="809"/>
        <w:ind w:firstLine="480"/>
        <w:spacing w:line="360" w:lineRule="auto"/>
        <w:rPr>
          <w:color w:val="000000"/>
          <w:sz w:val="24"/>
          <w:highlight w:val="none"/>
          <w:lang w:val="zh-TW" w:bidi="ar"/>
        </w:rPr>
      </w:pPr>
      <w:r>
        <w:rPr>
          <w:rFonts w:hint="eastAsia"/>
          <w:color w:val="000000"/>
          <w:sz w:val="24"/>
          <w:highlight w:val="none"/>
          <w:lang w:bidi="ar"/>
        </w:rPr>
        <w:t xml:space="preserve">3</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809"/>
        <w:ind w:firstLine="480"/>
        <w:jc w:val="left"/>
        <w:spacing w:line="360" w:lineRule="auto"/>
        <w:widowControl/>
        <w:rPr>
          <w:rFonts w:ascii="宋体" w:hAnsi="宋体"/>
          <w:color w:val="000000"/>
          <w:sz w:val="24"/>
          <w:highlight w:val="none"/>
          <w:lang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bidi="ar"/>
        </w:rPr>
      </w:r>
      <w:r/>
    </w:p>
    <w:p>
      <w:pPr>
        <w:pStyle w:val="809"/>
        <w:ind w:firstLine="480"/>
        <w:jc w:val="left"/>
        <w:spacing w:line="360" w:lineRule="auto"/>
        <w:widowControl/>
        <w:rPr>
          <w:color w:val="000000"/>
          <w:sz w:val="24"/>
          <w:highlight w:val="none"/>
          <w:lang w:bidi="ar"/>
        </w:rPr>
      </w:pPr>
      <w:r>
        <w:rPr>
          <w:color w:val="000000"/>
          <w:sz w:val="24"/>
          <w:highlight w:val="none"/>
          <w:lang w:bidi="ar"/>
        </w:rPr>
      </w:r>
      <w:r/>
    </w:p>
    <w:p>
      <w:pPr>
        <w:pStyle w:val="809"/>
        <w:ind w:firstLine="480"/>
        <w:spacing w:line="360" w:lineRule="auto"/>
        <w:rPr>
          <w:color w:val="000000"/>
          <w:sz w:val="24"/>
          <w:highlight w:val="none"/>
        </w:rPr>
      </w:pPr>
      <w:r>
        <w:rPr>
          <w:color w:val="000000"/>
          <w:sz w:val="24"/>
          <w:highlight w:val="none"/>
        </w:rPr>
      </w:r>
      <w:r/>
    </w:p>
    <w:p>
      <w:pPr>
        <w:pStyle w:val="811"/>
        <w:jc w:val="left"/>
        <w:spacing w:before="0" w:line="360" w:lineRule="auto"/>
        <w:rPr>
          <w:rFonts w:ascii="Times New Roman" w:hAnsi="Times New Roman" w:eastAsia="宋体"/>
          <w:color w:val="000000"/>
          <w:sz w:val="24"/>
          <w:szCs w:val="24"/>
          <w:highlight w:val="none"/>
        </w:rPr>
      </w:pPr>
      <w:r/>
      <w:bookmarkStart w:id="25" w:name="_Toc35393627"/>
      <w:r/>
      <w:bookmarkStart w:id="26" w:name="_Toc28359085"/>
      <w:r/>
      <w:bookmarkStart w:id="27" w:name="_Toc28359008"/>
      <w:r/>
      <w:bookmarkStart w:id="28" w:name="_Toc35393796"/>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color w:val="000000"/>
          <w:sz w:val="24"/>
          <w:szCs w:val="24"/>
          <w:highlight w:val="none"/>
        </w:rPr>
      </w:r>
      <w:r/>
    </w:p>
    <w:p>
      <w:pPr>
        <w:pStyle w:val="809"/>
        <w:jc w:val="left"/>
        <w:spacing w:line="360" w:lineRule="auto"/>
        <w:widowControl/>
        <w:rPr>
          <w:b/>
          <w:color w:val="000000"/>
          <w:sz w:val="24"/>
          <w:highlight w:val="none"/>
        </w:rPr>
      </w:pPr>
      <w:r>
        <w:rPr>
          <w:rFonts w:hint="eastAsia"/>
          <w:color w:val="000000"/>
          <w:sz w:val="24"/>
          <w:highlight w:val="none"/>
          <w:lang w:val="en-US" w:eastAsia="zh-CN"/>
        </w:rPr>
        <w:t xml:space="preserve">      </w:t>
      </w:r>
      <w:r>
        <w:rPr>
          <w:b/>
          <w:color w:val="000000"/>
          <w:sz w:val="24"/>
          <w:highlight w:val="none"/>
        </w:rPr>
        <w:t xml:space="preserve">1.采购人信息</w:t>
      </w:r>
      <w:r>
        <w:rPr>
          <w:b/>
          <w:color w:val="000000"/>
          <w:sz w:val="24"/>
          <w:highlight w:val="none"/>
        </w:rPr>
      </w:r>
      <w:r/>
    </w:p>
    <w:p>
      <w:pPr>
        <w:pStyle w:val="809"/>
        <w:ind w:left="1079" w:hanging="300"/>
        <w:jc w:val="left"/>
        <w:spacing w:line="360" w:lineRule="auto"/>
        <w:rPr>
          <w:color w:val="000000"/>
          <w:sz w:val="24"/>
          <w:highlight w:val="none"/>
        </w:rPr>
      </w:pPr>
      <w:r/>
      <w:bookmarkStart w:id="29" w:name="_Toc28359009"/>
      <w:r/>
      <w:bookmarkStart w:id="30" w:name="_Toc28359086"/>
      <w:r>
        <w:rPr>
          <w:color w:val="000000"/>
          <w:sz w:val="24"/>
          <w:highlight w:val="none"/>
        </w:rPr>
        <w:t xml:space="preserve">名    称：</w:t>
      </w:r>
      <w:r>
        <w:rPr>
          <w:rFonts w:hint="eastAsia"/>
          <w:color w:val="000000"/>
          <w:sz w:val="24"/>
          <w:highlight w:val="none"/>
          <w:u w:val="single"/>
          <w:lang w:eastAsia="zh-CN"/>
        </w:rPr>
        <w:t xml:space="preserve">常州市溧阳生态环境局</w:t>
      </w:r>
      <w:r>
        <w:rPr>
          <w:color w:val="000000"/>
          <w:sz w:val="24"/>
          <w:highlight w:val="none"/>
        </w:rPr>
        <w:t xml:space="preserve"> </w:t>
      </w:r>
      <w:r>
        <w:rPr>
          <w:color w:val="000000"/>
          <w:sz w:val="24"/>
          <w:highlight w:val="none"/>
        </w:rPr>
      </w:r>
      <w:r/>
    </w:p>
    <w:p>
      <w:pPr>
        <w:pStyle w:val="809"/>
        <w:ind w:left="1079" w:hanging="300"/>
        <w:jc w:val="left"/>
        <w:spacing w:line="360" w:lineRule="auto"/>
        <w:rPr>
          <w:rFonts w:hint="eastAsia" w:eastAsia="宋体"/>
          <w:color w:val="000000"/>
          <w:sz w:val="24"/>
          <w:highlight w:val="none"/>
          <w:lang w:eastAsia="zh-CN"/>
        </w:rPr>
      </w:pPr>
      <w:r>
        <w:rPr>
          <w:color w:val="000000"/>
          <w:sz w:val="24"/>
          <w:highlight w:val="none"/>
        </w:rPr>
        <w:t xml:space="preserve">地    址：</w:t>
      </w:r>
      <w:r>
        <w:rPr>
          <w:rFonts w:hint="eastAsia"/>
          <w:color w:val="000000"/>
          <w:sz w:val="24"/>
          <w:highlight w:val="none"/>
          <w:u w:val="single"/>
        </w:rPr>
        <w:t xml:space="preserve">江苏省常州市溧阳市溧城镇南大街290号</w:t>
      </w:r>
      <w:r>
        <w:rPr>
          <w:rFonts w:hint="eastAsia" w:eastAsia="宋体"/>
          <w:color w:val="000000"/>
          <w:sz w:val="24"/>
          <w:highlight w:val="none"/>
          <w:lang w:eastAsia="zh-CN"/>
        </w:rPr>
      </w:r>
      <w:r/>
    </w:p>
    <w:p>
      <w:pPr>
        <w:pStyle w:val="809"/>
        <w:ind w:left="1079" w:hanging="300"/>
        <w:jc w:val="left"/>
        <w:spacing w:line="360" w:lineRule="auto"/>
        <w:rPr>
          <w:rFonts w:eastAsia="宋体"/>
          <w:color w:val="000000"/>
          <w:sz w:val="24"/>
          <w:highlight w:val="none"/>
          <w:u w:val="single"/>
          <w:lang w:val="en-US" w:eastAsia="zh-CN"/>
        </w:rPr>
      </w:pPr>
      <w:r>
        <w:rPr>
          <w:color w:val="000000"/>
          <w:sz w:val="24"/>
          <w:highlight w:val="none"/>
        </w:rPr>
        <w:t xml:space="preserve">联系方式：</w:t>
      </w:r>
      <w:r>
        <w:rPr>
          <w:rFonts w:hint="eastAsia"/>
          <w:color w:val="000000"/>
          <w:sz w:val="24"/>
          <w:highlight w:val="none"/>
          <w:u w:val="single"/>
        </w:rPr>
        <w:t xml:space="preserve">0519-87888215</w:t>
      </w:r>
      <w:r>
        <w:rPr>
          <w:rFonts w:eastAsia="宋体"/>
          <w:color w:val="000000"/>
          <w:sz w:val="24"/>
          <w:highlight w:val="none"/>
          <w:u w:val="single"/>
          <w:lang w:val="en-US" w:eastAsia="zh-CN"/>
        </w:rPr>
      </w:r>
      <w:r/>
    </w:p>
    <w:p>
      <w:pPr>
        <w:pStyle w:val="809"/>
        <w:ind w:left="1078" w:hanging="299"/>
        <w:jc w:val="left"/>
        <w:spacing w:line="360" w:lineRule="auto"/>
        <w:rPr>
          <w:b/>
          <w:color w:val="000000"/>
          <w:sz w:val="24"/>
          <w:highlight w:val="none"/>
        </w:rPr>
      </w:pPr>
      <w:r>
        <w:rPr>
          <w:b/>
          <w:color w:val="000000"/>
          <w:sz w:val="24"/>
          <w:highlight w:val="none"/>
        </w:rPr>
        <w:t xml:space="preserve">2.采购代理机构信息</w:t>
      </w:r>
      <w:bookmarkEnd w:id="29"/>
      <w:r/>
      <w:bookmarkEnd w:id="30"/>
      <w:r>
        <w:rPr>
          <w:b/>
          <w:color w:val="000000"/>
          <w:sz w:val="24"/>
          <w:highlight w:val="none"/>
        </w:rPr>
      </w:r>
      <w:r/>
    </w:p>
    <w:p>
      <w:pPr>
        <w:pStyle w:val="809"/>
        <w:ind w:left="1076" w:hanging="297"/>
        <w:jc w:val="left"/>
        <w:spacing w:line="360" w:lineRule="auto"/>
        <w:rPr>
          <w:color w:val="000000"/>
          <w:sz w:val="24"/>
          <w:highlight w:val="none"/>
        </w:rPr>
      </w:pPr>
      <w:r/>
      <w:bookmarkStart w:id="31" w:name="_Toc28359010"/>
      <w:r/>
      <w:bookmarkStart w:id="32" w:name="_Toc28359087"/>
      <w:r>
        <w:rPr>
          <w:color w:val="000000"/>
          <w:sz w:val="24"/>
          <w:highlight w:val="none"/>
        </w:rPr>
        <w:t xml:space="preserve">名    称：</w:t>
      </w:r>
      <w:r>
        <w:rPr>
          <w:rFonts w:hint="eastAsia"/>
          <w:color w:val="000000"/>
          <w:sz w:val="24"/>
          <w:highlight w:val="none"/>
          <w:u w:val="single"/>
        </w:rPr>
        <w:t xml:space="preserve">溧阳大华工程项目管理有限公司</w:t>
      </w:r>
      <w:r>
        <w:rPr>
          <w:color w:val="000000"/>
          <w:sz w:val="24"/>
          <w:highlight w:val="none"/>
        </w:rPr>
      </w:r>
      <w:r/>
    </w:p>
    <w:p>
      <w:pPr>
        <w:pStyle w:val="809"/>
        <w:ind w:left="1076" w:hanging="297"/>
        <w:jc w:val="left"/>
        <w:spacing w:line="360" w:lineRule="auto"/>
        <w:rPr>
          <w:rFonts w:hint="eastAsia" w:eastAsia="宋体"/>
          <w:color w:val="000000"/>
          <w:sz w:val="24"/>
          <w:highlight w:val="none"/>
          <w:u w:val="single"/>
          <w:lang w:eastAsia="zh-CN"/>
        </w:rPr>
      </w:pPr>
      <w:r>
        <w:rPr>
          <w:color w:val="000000"/>
          <w:sz w:val="24"/>
          <w:highlight w:val="none"/>
        </w:rPr>
        <w:t xml:space="preserve">地    址：</w:t>
      </w:r>
      <w:r>
        <w:rPr>
          <w:rFonts w:hint="eastAsia"/>
          <w:color w:val="000000"/>
          <w:sz w:val="24"/>
          <w:highlight w:val="none"/>
          <w:u w:val="single"/>
          <w:lang w:eastAsia="zh-CN" w:bidi="ar"/>
        </w:rPr>
        <w:t xml:space="preserve">溧阳市溧城街道平陵中路7号2楼工程部</w:t>
      </w:r>
      <w:r>
        <w:rPr>
          <w:rFonts w:hint="eastAsia" w:eastAsia="宋体"/>
          <w:color w:val="000000"/>
          <w:sz w:val="24"/>
          <w:highlight w:val="none"/>
          <w:u w:val="single"/>
          <w:lang w:eastAsia="zh-CN"/>
        </w:rPr>
      </w:r>
      <w:r/>
    </w:p>
    <w:p>
      <w:pPr>
        <w:pStyle w:val="809"/>
        <w:ind w:left="1076" w:hanging="297"/>
        <w:jc w:val="left"/>
        <w:spacing w:line="360" w:lineRule="auto"/>
        <w:rPr>
          <w:color w:val="000000"/>
          <w:sz w:val="24"/>
          <w:highlight w:val="none"/>
          <w:u w:val="single"/>
        </w:rPr>
      </w:pPr>
      <w:r>
        <w:rPr>
          <w:color w:val="000000"/>
          <w:sz w:val="24"/>
          <w:highlight w:val="none"/>
        </w:rPr>
        <w:t xml:space="preserve">联系方式：</w:t>
      </w:r>
      <w:r>
        <w:rPr>
          <w:rFonts w:hint="eastAsia"/>
          <w:color w:val="000000"/>
          <w:sz w:val="24"/>
          <w:highlight w:val="none"/>
          <w:u w:val="single"/>
        </w:rPr>
        <w:t xml:space="preserve">0519-87228418</w:t>
      </w:r>
      <w:r>
        <w:rPr>
          <w:color w:val="000000"/>
          <w:sz w:val="24"/>
          <w:highlight w:val="none"/>
          <w:u w:val="single"/>
        </w:rPr>
      </w:r>
      <w:r/>
    </w:p>
    <w:p>
      <w:pPr>
        <w:pStyle w:val="809"/>
        <w:ind w:left="1078" w:hanging="299"/>
        <w:spacing w:line="360" w:lineRule="auto"/>
        <w:rPr>
          <w:b/>
          <w:color w:val="000000"/>
          <w:sz w:val="24"/>
          <w:highlight w:val="none"/>
          <w:u w:val="single"/>
        </w:rPr>
      </w:pPr>
      <w:r>
        <w:rPr>
          <w:b/>
          <w:color w:val="000000"/>
          <w:sz w:val="24"/>
          <w:highlight w:val="none"/>
        </w:rPr>
        <w:t xml:space="preserve">3.项目联系方式</w:t>
      </w:r>
      <w:bookmarkEnd w:id="31"/>
      <w:r/>
      <w:bookmarkEnd w:id="32"/>
      <w:r>
        <w:rPr>
          <w:b/>
          <w:color w:val="000000"/>
          <w:sz w:val="24"/>
          <w:highlight w:val="none"/>
          <w:u w:val="single"/>
        </w:rPr>
      </w:r>
      <w:r/>
    </w:p>
    <w:p>
      <w:pPr>
        <w:pStyle w:val="849"/>
        <w:ind w:left="1076" w:hanging="297"/>
        <w:spacing w:line="360" w:lineRule="auto"/>
        <w:rPr>
          <w:rFonts w:ascii="Times New Roman" w:hAnsi="Times New Roman"/>
          <w:color w:val="000000"/>
          <w:sz w:val="24"/>
          <w:highlight w:val="none"/>
          <w:u w:val="single"/>
          <w:lang w:bidi="ar"/>
        </w:rPr>
      </w:pPr>
      <w:r>
        <w:rPr>
          <w:rFonts w:ascii="Times New Roman" w:hAnsi="Times New Roman"/>
          <w:color w:val="000000"/>
          <w:sz w:val="24"/>
          <w:szCs w:val="24"/>
          <w:highlight w:val="none"/>
        </w:rPr>
        <w:t xml:space="preserve">项目联系人：</w:t>
      </w:r>
      <w:r>
        <w:rPr>
          <w:rFonts w:hint="eastAsia" w:hAnsi="宋体"/>
          <w:color w:val="000000"/>
          <w:sz w:val="24"/>
          <w:highlight w:val="none"/>
          <w:u w:val="single"/>
          <w:lang w:val="en-US" w:eastAsia="zh-CN"/>
        </w:rPr>
        <w:t xml:space="preserve">张 工</w:t>
      </w:r>
      <w:r>
        <w:rPr>
          <w:rFonts w:ascii="Times New Roman" w:hAnsi="Times New Roman"/>
          <w:color w:val="000000"/>
          <w:sz w:val="24"/>
          <w:highlight w:val="none"/>
          <w:u w:val="single"/>
          <w:lang w:bidi="ar"/>
        </w:rPr>
      </w:r>
      <w:r/>
    </w:p>
    <w:p>
      <w:pPr>
        <w:pStyle w:val="849"/>
        <w:ind w:left="1076" w:hanging="297"/>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ascii="Times New Roman" w:hAnsi="Times New Roman"/>
          <w:color w:val="000000"/>
          <w:sz w:val="24"/>
          <w:highlight w:val="none"/>
          <w:u w:val="single"/>
        </w:rPr>
        <w:t xml:space="preserve">0519-87228418</w:t>
      </w:r>
      <w:r>
        <w:rPr>
          <w:rFonts w:ascii="Times New Roman" w:hAnsi="Times New Roman"/>
          <w:color w:val="000000"/>
          <w:sz w:val="24"/>
          <w:szCs w:val="24"/>
          <w:highlight w:val="none"/>
        </w:rPr>
      </w:r>
      <w:r/>
    </w:p>
    <w:p>
      <w:pPr>
        <w:pStyle w:val="809"/>
        <w:jc w:val="center"/>
        <w:spacing w:line="360" w:lineRule="auto"/>
        <w:rPr>
          <w:b/>
          <w:color w:val="000000"/>
          <w:sz w:val="32"/>
          <w:szCs w:val="32"/>
          <w:highlight w:val="none"/>
        </w:rPr>
        <w:outlineLvl w:val="0"/>
      </w:pPr>
      <w:r>
        <w:rPr>
          <w:color w:val="000000"/>
          <w:sz w:val="24"/>
          <w:highlight w:val="none"/>
        </w:rPr>
        <w:br w:type="page" w:clear="all"/>
      </w:r>
      <w:bookmarkStart w:id="33" w:name="_Toc264969275"/>
      <w:r/>
      <w:bookmarkStart w:id="34" w:name="_Toc353873938"/>
      <w:r/>
      <w:bookmarkStart w:id="35" w:name="_Toc150774783"/>
      <w:r/>
      <w:bookmarkStart w:id="36" w:name="_Toc353825548"/>
      <w:r/>
      <w:bookmarkStart w:id="37" w:name="_Toc104818926"/>
      <w:r/>
      <w:bookmarkStart w:id="38" w:name="_Toc305158854"/>
      <w:r/>
      <w:bookmarkStart w:id="39" w:name="_Toc195842950"/>
      <w:r/>
      <w:bookmarkStart w:id="40" w:name="_Toc226965856"/>
      <w:r/>
      <w:bookmarkStart w:id="41" w:name="_Toc127161488"/>
      <w:r/>
      <w:bookmarkStart w:id="42" w:name="_Toc512937850"/>
      <w:r/>
      <w:bookmarkStart w:id="43" w:name="_Toc305158928"/>
      <w:r/>
      <w:bookmarkStart w:id="44" w:name="_Toc265228423"/>
      <w:r/>
      <w:bookmarkStart w:id="45" w:name="_Toc127151777"/>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811"/>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226309763"/>
      <w:r/>
      <w:bookmarkStart w:id="47" w:name="_Toc164351613"/>
      <w:r/>
      <w:bookmarkStart w:id="48" w:name="_Toc150480757"/>
      <w:r/>
      <w:bookmarkStart w:id="49" w:name="_Toc226337215"/>
      <w:r/>
      <w:bookmarkStart w:id="50" w:name="_Toc195842884"/>
      <w:r/>
      <w:bookmarkStart w:id="51" w:name="_Toc127151519"/>
      <w:r/>
      <w:bookmarkStart w:id="52" w:name="_Toc520356144"/>
      <w:r/>
      <w:bookmarkStart w:id="53" w:name="_Toc226965709"/>
      <w:r/>
      <w:bookmarkStart w:id="54" w:name="_Toc151193907"/>
      <w:r/>
      <w:bookmarkStart w:id="55" w:name="_Toc151190146"/>
      <w:r/>
      <w:bookmarkStart w:id="56" w:name="_Toc151193617"/>
      <w:r/>
      <w:bookmarkStart w:id="57" w:name="_Toc151193761"/>
      <w:r/>
      <w:bookmarkStart w:id="58" w:name="_Toc150774619"/>
      <w:r/>
      <w:bookmarkStart w:id="59" w:name="_Toc127161433"/>
      <w:r/>
      <w:bookmarkStart w:id="60" w:name="_Toc149720812"/>
      <w:r/>
      <w:bookmarkStart w:id="61" w:name="_Toc127151720"/>
      <w:r/>
      <w:bookmarkStart w:id="62" w:name="_Toc164229214"/>
      <w:r/>
      <w:bookmarkStart w:id="63" w:name="_Toc150774724"/>
      <w:r/>
      <w:bookmarkStart w:id="64" w:name="_Toc151193833"/>
      <w:r/>
      <w:bookmarkStart w:id="65" w:name="_Toc151193689"/>
      <w:r/>
      <w:bookmarkStart w:id="66" w:name="_Toc164608788"/>
      <w:r/>
      <w:bookmarkStart w:id="67" w:name="_Toc142311021"/>
      <w:r/>
      <w:bookmarkStart w:id="68" w:name="_Toc226965792"/>
      <w:r/>
      <w:bookmarkStart w:id="69" w:name="_Toc150509270"/>
      <w:r/>
      <w:bookmarkStart w:id="70" w:name="_Toc164229360"/>
      <w:r/>
      <w:bookmarkStart w:id="71" w:name="_Toc164608633"/>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809"/>
        <w:jc w:val="center"/>
        <w:rPr>
          <w:b/>
          <w:color w:val="000000"/>
          <w:sz w:val="28"/>
          <w:szCs w:val="28"/>
          <w:highlight w:val="none"/>
        </w:rPr>
      </w:pPr>
      <w:r>
        <w:rPr>
          <w:b/>
          <w:color w:val="000000"/>
          <w:sz w:val="28"/>
          <w:szCs w:val="28"/>
          <w:highlight w:val="none"/>
        </w:rPr>
      </w:r>
      <w:r/>
    </w:p>
    <w:p>
      <w:pPr>
        <w:pStyle w:val="809"/>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09"/>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809"/>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809"/>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项目属性：</w:t>
            </w:r>
            <w:r>
              <w:rPr>
                <w:color w:val="000000"/>
                <w:sz w:val="24"/>
                <w:highlight w:val="none"/>
              </w:rPr>
            </w:r>
            <w:r/>
          </w:p>
          <w:p>
            <w:pPr>
              <w:pStyle w:val="809"/>
              <w:jc w:val="left"/>
              <w:rPr>
                <w:color w:val="000000"/>
                <w:sz w:val="24"/>
                <w:highlight w:val="none"/>
              </w:rPr>
            </w:pPr>
            <w:r>
              <w:rPr>
                <w:b/>
                <w:color w:val="000000"/>
                <w:sz w:val="24"/>
                <w:highlight w:val="none"/>
              </w:rPr>
              <w:t xml:space="preserve">■</w:t>
            </w:r>
            <w:r>
              <w:rPr>
                <w:color w:val="000000"/>
                <w:sz w:val="24"/>
                <w:highlight w:val="none"/>
              </w:rPr>
              <w:t xml:space="preserve">服务</w:t>
            </w:r>
            <w:r>
              <w:rPr>
                <w:color w:val="000000"/>
                <w:sz w:val="24"/>
                <w:highlight w:val="none"/>
              </w:rPr>
            </w:r>
            <w:r/>
          </w:p>
          <w:p>
            <w:pPr>
              <w:pStyle w:val="809"/>
              <w:jc w:val="left"/>
              <w:rPr>
                <w:color w:val="000000"/>
                <w:sz w:val="24"/>
                <w:highlight w:val="none"/>
              </w:rPr>
            </w:pPr>
            <w:r>
              <w:rPr>
                <w:rFonts w:ascii="Wingdings 2" w:hAnsi="Wingdings 2" w:eastAsia="Wingdings 2" w:cs="Wingdings 2"/>
                <w:color w:val="000000"/>
                <w:highlight w:val="none"/>
              </w:rPr>
              <w:t xml:space="preserve">£</w:t>
            </w:r>
            <w:r>
              <w:rPr>
                <w:color w:val="000000"/>
                <w:sz w:val="24"/>
                <w:highlight w:val="none"/>
              </w:rPr>
              <w:t xml:space="preserve">货物</w:t>
            </w:r>
            <w:r>
              <w:rPr>
                <w:color w:val="000000"/>
                <w:sz w:val="24"/>
                <w:highlight w:val="none"/>
              </w:rPr>
            </w:r>
            <w:r/>
          </w:p>
          <w:p>
            <w:pPr>
              <w:pStyle w:val="809"/>
              <w:jc w:val="left"/>
              <w:rPr>
                <w:color w:val="000000"/>
                <w:sz w:val="24"/>
                <w:highlight w:val="none"/>
                <w:u w:val="single"/>
              </w:rPr>
            </w:pPr>
            <w:r>
              <w:rPr>
                <w:rFonts w:ascii="Wingdings 2" w:hAnsi="Wingdings 2" w:eastAsia="Wingdings 2" w:cs="Wingdings 2"/>
                <w:color w:val="000000"/>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09"/>
              <w:jc w:val="left"/>
              <w:rPr>
                <w:color w:val="000000"/>
                <w:sz w:val="24"/>
                <w:highlight w:val="none"/>
              </w:rPr>
            </w:pPr>
            <w:r>
              <w:rPr>
                <w:color w:val="000000"/>
                <w:highlight w:val="none"/>
              </w:rPr>
              <w:t xml:space="preserve">□</w:t>
            </w:r>
            <w:r>
              <w:rPr>
                <w:color w:val="000000"/>
                <w:sz w:val="24"/>
                <w:highlight w:val="none"/>
              </w:rPr>
              <w:t xml:space="preserve">是</w:t>
            </w:r>
            <w:r>
              <w:rPr>
                <w:color w:val="000000"/>
                <w:sz w:val="24"/>
                <w:highlight w:val="none"/>
              </w:rPr>
            </w:r>
            <w:r/>
          </w:p>
          <w:p>
            <w:pPr>
              <w:pStyle w:val="809"/>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809"/>
              <w:jc w:val="left"/>
              <w:rPr>
                <w:bCs/>
                <w:color w:val="000000"/>
                <w:sz w:val="24"/>
                <w:highlight w:val="none"/>
              </w:rPr>
            </w:pPr>
            <w:r>
              <w:rPr>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49"/>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809"/>
              <w:jc w:val="left"/>
              <w:rPr>
                <w:color w:val="000000"/>
                <w:sz w:val="24"/>
                <w:highlight w:val="none"/>
              </w:rPr>
            </w:pPr>
            <w:r>
              <w:rPr>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809"/>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809"/>
              <w:jc w:val="left"/>
              <w:rPr>
                <w:rFonts w:eastAsia="宋体"/>
                <w:color w:val="000000"/>
                <w:sz w:val="24"/>
                <w:highlight w:val="none"/>
                <w:lang w:val="en-US" w:eastAsia="zh-CN"/>
              </w:rPr>
            </w:pPr>
            <w:r>
              <w:rPr>
                <w:color w:val="000000"/>
                <w:sz w:val="24"/>
                <w:highlight w:val="none"/>
              </w:rPr>
              <w:t xml:space="preserve">本项目采购标的对应的中小企业划分标准所属行业：</w:t>
            </w:r>
            <w:r>
              <w:rPr>
                <w:rFonts w:hint="eastAsia"/>
                <w:b/>
                <w:bCs/>
                <w:color w:val="000000"/>
                <w:sz w:val="24"/>
                <w:highlight w:val="none"/>
                <w:u w:val="single"/>
              </w:rPr>
              <w:t xml:space="preserve">其他未列明行业</w:t>
            </w:r>
            <w:r>
              <w:rPr>
                <w:rFonts w:eastAsia="宋体"/>
                <w:color w:val="000000"/>
                <w:sz w:val="24"/>
                <w:highlight w:val="none"/>
                <w:lang w:val="en-US" w:eastAsia="zh-CN"/>
              </w:rPr>
            </w:r>
            <w:r/>
          </w:p>
        </w:tc>
      </w:tr>
      <w:tr>
        <w:trPr>
          <w:trHeight w:val="89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报价的特殊规定：</w:t>
            </w:r>
            <w:r>
              <w:rPr>
                <w:color w:val="000000"/>
                <w:sz w:val="24"/>
                <w:highlight w:val="none"/>
              </w:rPr>
            </w:r>
            <w:r/>
          </w:p>
          <w:p>
            <w:pPr>
              <w:pStyle w:val="809"/>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809"/>
              <w:jc w:val="left"/>
              <w:rPr>
                <w:color w:val="000000"/>
                <w:sz w:val="24"/>
                <w:highlight w:val="none"/>
              </w:rPr>
            </w:pPr>
            <w:r>
              <w:rPr>
                <w:color w:val="000000"/>
                <w:highlight w:val="none"/>
              </w:rPr>
              <w:t xml:space="preserve">□</w:t>
            </w: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自提交响应文件的截止之日起算___</w:t>
            </w:r>
            <w:r>
              <w:rPr>
                <w:rFonts w:hint="eastAsia"/>
                <w:color w:val="000000"/>
                <w:sz w:val="24"/>
                <w:highlight w:val="none"/>
                <w:lang w:val="en-US" w:eastAsia="zh-CN"/>
              </w:rPr>
              <w:t xml:space="preserve">60</w:t>
            </w:r>
            <w:r>
              <w:rPr>
                <w:color w:val="000000"/>
                <w:sz w:val="24"/>
                <w:highlight w:val="none"/>
              </w:rPr>
              <w:t xml:space="preserve">__日历天。</w:t>
            </w:r>
            <w:r>
              <w:rPr>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809"/>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809"/>
              <w:jc w:val="left"/>
              <w:rPr>
                <w:color w:val="000000"/>
                <w:sz w:val="24"/>
                <w:highlight w:val="none"/>
              </w:rPr>
            </w:pPr>
            <w:r>
              <w:rPr>
                <w:color w:val="000000"/>
                <w:highlight w:val="none"/>
              </w:rPr>
              <w:t xml:space="preserve">□</w:t>
            </w:r>
            <w:r>
              <w:rPr>
                <w:color w:val="000000"/>
                <w:sz w:val="24"/>
                <w:highlight w:val="none"/>
              </w:rPr>
              <w:t xml:space="preserve">允许，具体要求：_______。</w:t>
            </w:r>
            <w:r>
              <w:rPr>
                <w:color w:val="000000"/>
                <w:sz w:val="24"/>
                <w:highlight w:val="none"/>
              </w:rPr>
            </w:r>
            <w:r/>
          </w:p>
          <w:p>
            <w:pPr>
              <w:pStyle w:val="809"/>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809"/>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809"/>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询问送达形式：</w:t>
            </w:r>
            <w:r>
              <w:rPr>
                <w:rFonts w:hint="eastAsia"/>
                <w:color w:val="000000"/>
                <w:sz w:val="24"/>
                <w:highlight w:val="none"/>
                <w:lang w:val="en-US" w:eastAsia="zh-CN"/>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809"/>
              <w:jc w:val="lef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溧阳大华工程项目管理有限公司</w:t>
            </w:r>
            <w:r>
              <w:rPr>
                <w:color w:val="000000"/>
                <w:sz w:val="24"/>
                <w:highlight w:val="none"/>
              </w:rPr>
              <w:t xml:space="preserve">；</w:t>
            </w:r>
            <w:r>
              <w:rPr>
                <w:color w:val="000000"/>
                <w:sz w:val="24"/>
                <w:highlight w:val="none"/>
              </w:rPr>
            </w:r>
            <w:r/>
          </w:p>
          <w:p>
            <w:pPr>
              <w:pStyle w:val="809"/>
              <w:jc w:val="lef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0519-87228418</w:t>
            </w:r>
            <w:r>
              <w:rPr>
                <w:color w:val="000000"/>
                <w:sz w:val="24"/>
                <w:highlight w:val="none"/>
              </w:rPr>
              <w:t xml:space="preserve">；</w:t>
            </w:r>
            <w:r>
              <w:rPr>
                <w:color w:val="000000"/>
                <w:sz w:val="24"/>
                <w:highlight w:val="none"/>
              </w:rPr>
            </w:r>
            <w:r/>
          </w:p>
          <w:p>
            <w:pPr>
              <w:pStyle w:val="809"/>
              <w:jc w:val="left"/>
              <w:rPr>
                <w:color w:val="000000"/>
                <w:sz w:val="24"/>
                <w:highlight w:val="none"/>
              </w:rPr>
            </w:pPr>
            <w:r>
              <w:rPr>
                <w:color w:val="000000"/>
                <w:sz w:val="24"/>
                <w:highlight w:val="none"/>
              </w:rPr>
              <w:t xml:space="preserve">通讯地址：</w:t>
            </w:r>
            <w:r>
              <w:rPr>
                <w:rFonts w:hint="eastAsia"/>
                <w:color w:val="000000"/>
                <w:sz w:val="24"/>
                <w:highlight w:val="none"/>
                <w:u w:val="single"/>
                <w:lang w:eastAsia="zh-CN" w:bidi="ar"/>
              </w:rPr>
              <w:t xml:space="preserve">溧阳市溧城街道平陵中路7号2楼工程部</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49"/>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809"/>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809"/>
              <w:jc w:val="left"/>
              <w:rPr>
                <w:color w:val="000000"/>
                <w:sz w:val="24"/>
                <w:highlight w:val="none"/>
              </w:rPr>
            </w:pPr>
            <w:r>
              <w:rPr>
                <w:color w:val="000000"/>
                <w:sz w:val="24"/>
                <w:highlight w:val="none"/>
              </w:rPr>
              <w:t xml:space="preserve">收费对象：</w:t>
            </w:r>
            <w:r>
              <w:rPr>
                <w:color w:val="000000"/>
                <w:sz w:val="24"/>
                <w:highlight w:val="none"/>
              </w:rPr>
            </w:r>
            <w:r/>
          </w:p>
          <w:p>
            <w:pPr>
              <w:pStyle w:val="809"/>
              <w:jc w:val="left"/>
              <w:rPr>
                <w:color w:val="000000"/>
                <w:sz w:val="24"/>
                <w:highlight w:val="none"/>
              </w:rPr>
            </w:pPr>
            <w:r>
              <w:rPr>
                <w:rFonts w:ascii="Wingdings 2" w:hAnsi="Wingdings 2" w:eastAsia="Wingdings 2" w:cs="Wingdings 2"/>
                <w:color w:val="000000"/>
                <w:highlight w:val="none"/>
              </w:rPr>
              <w:t xml:space="preserve">£</w:t>
            </w:r>
            <w:r>
              <w:rPr>
                <w:color w:val="000000"/>
                <w:sz w:val="24"/>
                <w:highlight w:val="none"/>
              </w:rPr>
              <w:t xml:space="preserve">采购人</w:t>
            </w:r>
            <w:r>
              <w:rPr>
                <w:color w:val="000000"/>
                <w:sz w:val="24"/>
                <w:highlight w:val="none"/>
              </w:rPr>
            </w:r>
            <w:r/>
          </w:p>
          <w:p>
            <w:pPr>
              <w:pStyle w:val="809"/>
              <w:jc w:val="left"/>
              <w:rPr>
                <w:color w:val="000000"/>
                <w:sz w:val="24"/>
                <w:highlight w:val="none"/>
              </w:rPr>
            </w:pPr>
            <w:r>
              <w:rPr>
                <w:b/>
                <w:color w:val="000000"/>
                <w:sz w:val="24"/>
                <w:highlight w:val="none"/>
              </w:rPr>
              <w:t xml:space="preserve">■</w:t>
            </w:r>
            <w:r>
              <w:rPr>
                <w:color w:val="000000"/>
                <w:sz w:val="24"/>
                <w:highlight w:val="none"/>
              </w:rPr>
              <w:t xml:space="preserve">成交供应商</w:t>
            </w:r>
            <w:r>
              <w:rPr>
                <w:color w:val="000000"/>
                <w:sz w:val="24"/>
                <w:highlight w:val="none"/>
              </w:rPr>
            </w:r>
            <w:r/>
          </w:p>
          <w:p>
            <w:pPr>
              <w:pStyle w:val="809"/>
              <w:jc w:val="left"/>
              <w:rPr>
                <w:color w:val="000000"/>
                <w:sz w:val="24"/>
                <w:highlight w:val="none"/>
                <w:u w:val="single"/>
              </w:rPr>
            </w:pPr>
            <w:r>
              <w:rPr>
                <w:color w:val="000000"/>
                <w:sz w:val="24"/>
                <w:highlight w:val="none"/>
              </w:rPr>
              <w:t xml:space="preserve">收费标准：</w:t>
            </w:r>
            <w:r>
              <w:rPr>
                <w:color w:val="000000"/>
                <w:sz w:val="24"/>
                <w:highlight w:val="none"/>
                <w:u w:val="single"/>
              </w:rPr>
              <w:t xml:space="preserve">按</w:t>
            </w:r>
            <w:r>
              <w:rPr>
                <w:rFonts w:hint="eastAsia"/>
                <w:color w:val="000000"/>
                <w:sz w:val="24"/>
                <w:highlight w:val="none"/>
                <w:u w:val="single"/>
              </w:rPr>
              <w:t xml:space="preserve">苏招协[2022]002号计取</w:t>
            </w:r>
            <w:r>
              <w:rPr>
                <w:color w:val="000000"/>
                <w:sz w:val="24"/>
                <w:highlight w:val="none"/>
              </w:rPr>
              <w:t xml:space="preserve">；</w:t>
            </w:r>
            <w:r>
              <w:rPr>
                <w:color w:val="000000"/>
                <w:sz w:val="24"/>
                <w:highlight w:val="none"/>
                <w:u w:val="single"/>
              </w:rPr>
            </w:r>
            <w:r/>
          </w:p>
          <w:p>
            <w:pPr>
              <w:pStyle w:val="809"/>
              <w:jc w:val="left"/>
              <w:rPr>
                <w:color w:val="000000"/>
                <w:sz w:val="24"/>
                <w:highlight w:val="none"/>
              </w:rPr>
            </w:pPr>
            <w:r>
              <w:rPr>
                <w:color w:val="000000"/>
                <w:sz w:val="24"/>
                <w:highlight w:val="none"/>
              </w:rPr>
              <w:t xml:space="preserve">缴纳时间：</w:t>
            </w:r>
            <w:r>
              <w:rPr>
                <w:rFonts w:hint="eastAsia"/>
                <w:color w:val="000000"/>
                <w:sz w:val="24"/>
                <w:highlight w:val="none"/>
                <w:u w:val="single"/>
              </w:rPr>
              <w:t xml:space="preserve">领取</w:t>
            </w:r>
            <w:r>
              <w:rPr>
                <w:color w:val="000000"/>
                <w:sz w:val="24"/>
                <w:highlight w:val="none"/>
                <w:u w:val="single"/>
              </w:rPr>
              <w:t xml:space="preserve">成交通知书的同时</w:t>
            </w:r>
            <w:r>
              <w:rPr>
                <w:color w:val="000000"/>
                <w:sz w:val="24"/>
                <w:highlight w:val="none"/>
              </w:rPr>
              <w:t xml:space="preserve">。</w:t>
            </w:r>
            <w:r>
              <w:rPr>
                <w:color w:val="000000"/>
                <w:sz w:val="24"/>
                <w:highlight w:val="none"/>
              </w:rPr>
            </w:r>
            <w:r/>
          </w:p>
        </w:tc>
      </w:tr>
    </w:tbl>
    <w:p>
      <w:pPr>
        <w:pStyle w:val="809"/>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809"/>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81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150480756"/>
      <w:r/>
      <w:bookmarkStart w:id="75" w:name="_Toc226309762"/>
      <w:r/>
      <w:bookmarkStart w:id="76" w:name="_Toc150774618"/>
      <w:r/>
      <w:bookmarkStart w:id="77" w:name="_Toc151193760"/>
      <w:r/>
      <w:bookmarkStart w:id="78" w:name="_Toc195842883"/>
      <w:r/>
      <w:bookmarkStart w:id="79" w:name="_Toc151193616"/>
      <w:r/>
      <w:bookmarkStart w:id="80" w:name="_Toc226965791"/>
      <w:r/>
      <w:bookmarkStart w:id="81" w:name="_Toc150774723"/>
      <w:r/>
      <w:bookmarkStart w:id="82" w:name="_Toc150509269"/>
      <w:r/>
      <w:bookmarkStart w:id="83" w:name="_Toc305158860"/>
      <w:r/>
      <w:bookmarkStart w:id="84" w:name="_Toc151190145"/>
      <w:r/>
      <w:bookmarkStart w:id="85" w:name="_Toc142311020"/>
      <w:r/>
      <w:bookmarkStart w:id="86" w:name="_Toc151193688"/>
      <w:r/>
      <w:bookmarkStart w:id="87" w:name="_Toc264969208"/>
      <w:r/>
      <w:bookmarkStart w:id="88" w:name="_Toc226337214"/>
      <w:r/>
      <w:bookmarkStart w:id="89" w:name="_Toc226965708"/>
      <w:r/>
      <w:bookmarkStart w:id="90" w:name="_Toc151193832"/>
      <w:r/>
      <w:bookmarkStart w:id="91" w:name="_Toc151193906"/>
      <w:r/>
      <w:bookmarkStart w:id="92" w:name="_Toc305158786"/>
      <w:r/>
      <w:bookmarkStart w:id="93" w:name="_Toc265228356"/>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s>
        <w:rPr>
          <w:color w:val="000000"/>
          <w:sz w:val="24"/>
          <w:highlight w:val="none"/>
        </w:rPr>
        <w:outlineLvl w:val="1"/>
      </w:pPr>
      <w:r/>
      <w:bookmarkStart w:id="94" w:name="_Toc264969209"/>
      <w:r/>
      <w:bookmarkStart w:id="95" w:name="_Toc265228357"/>
      <w:r/>
      <w:bookmarkStart w:id="96" w:name="_Toc305158861"/>
      <w:r/>
      <w:bookmarkStart w:id="97" w:name="_Toc305158787"/>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09"/>
        <w:numPr>
          <w:ilvl w:val="0"/>
          <w:numId w:val="9"/>
        </w:numPr>
        <w:ind w:left="357" w:hanging="357"/>
        <w:spacing w:line="360" w:lineRule="auto"/>
        <w:tabs>
          <w:tab w:val="left" w:pos="360" w:leader="none"/>
        </w:tabs>
        <w:rPr>
          <w:color w:val="000000"/>
          <w:sz w:val="24"/>
          <w:highlight w:val="none"/>
        </w:rPr>
        <w:outlineLvl w:val="1"/>
      </w:pPr>
      <w:r/>
      <w:bookmarkStart w:id="98" w:name="_Toc127151520"/>
      <w:r/>
      <w:bookmarkStart w:id="99" w:name="_Toc127151721"/>
      <w:r/>
      <w:bookmarkStart w:id="100" w:name="_Toc226337216"/>
      <w:r/>
      <w:bookmarkStart w:id="101" w:name="_Toc142311022"/>
      <w:r/>
      <w:bookmarkStart w:id="102" w:name="_Toc264969210"/>
      <w:r/>
      <w:bookmarkStart w:id="103" w:name="_Toc149720813"/>
      <w:r/>
      <w:bookmarkStart w:id="104" w:name="_Toc265228358"/>
      <w:r/>
      <w:bookmarkStart w:id="105" w:name="_Toc226965710"/>
      <w:r/>
      <w:bookmarkStart w:id="106" w:name="_Toc195842885"/>
      <w:r/>
      <w:bookmarkStart w:id="107" w:name="_Toc164351614"/>
      <w:r/>
      <w:bookmarkStart w:id="108" w:name="_Toc151190147"/>
      <w:r/>
      <w:bookmarkStart w:id="109" w:name="_Toc150509271"/>
      <w:r/>
      <w:bookmarkStart w:id="110" w:name="_Toc151193834"/>
      <w:r/>
      <w:bookmarkStart w:id="111" w:name="_Toc127161434"/>
      <w:r/>
      <w:bookmarkStart w:id="112" w:name="_Toc226309764"/>
      <w:r/>
      <w:bookmarkStart w:id="113" w:name="_Toc150774725"/>
      <w:r/>
      <w:bookmarkStart w:id="114" w:name="_Toc151193618"/>
      <w:r/>
      <w:bookmarkStart w:id="115" w:name="_Toc150774620"/>
      <w:r/>
      <w:bookmarkStart w:id="116" w:name="_Toc164229215"/>
      <w:r/>
      <w:bookmarkStart w:id="117" w:name="_Toc151193690"/>
      <w:r/>
      <w:bookmarkStart w:id="118" w:name="_Toc305158862"/>
      <w:r/>
      <w:bookmarkStart w:id="119" w:name="_Toc164608789"/>
      <w:r/>
      <w:bookmarkStart w:id="120" w:name="_Toc164229361"/>
      <w:r/>
      <w:bookmarkStart w:id="121" w:name="_Toc305158788"/>
      <w:r/>
      <w:bookmarkStart w:id="122" w:name="_Toc151193908"/>
      <w:r/>
      <w:bookmarkStart w:id="123" w:name="_Toc164608634"/>
      <w:r/>
      <w:bookmarkStart w:id="124" w:name="_Toc150480758"/>
      <w:r/>
      <w:bookmarkStart w:id="125" w:name="_Toc226965793"/>
      <w:r/>
      <w:bookmarkStart w:id="126" w:name="_Toc151193762"/>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151193692"/>
      <w:r/>
      <w:bookmarkStart w:id="128" w:name="_Toc226965712"/>
      <w:r/>
      <w:bookmarkStart w:id="129" w:name="_Toc150774727"/>
      <w:r/>
      <w:bookmarkStart w:id="130" w:name="_Toc305158864"/>
      <w:r/>
      <w:bookmarkStart w:id="131" w:name="_Toc305158790"/>
      <w:r/>
      <w:bookmarkStart w:id="132" w:name="_Toc150480760"/>
      <w:r/>
      <w:bookmarkStart w:id="133" w:name="_Toc264969212"/>
      <w:r/>
      <w:bookmarkStart w:id="134" w:name="_Toc265228360"/>
      <w:r/>
      <w:bookmarkStart w:id="135" w:name="_Toc151193620"/>
      <w:r/>
      <w:bookmarkStart w:id="136" w:name="_Toc226337218"/>
      <w:r/>
      <w:bookmarkStart w:id="137" w:name="_Toc150774622"/>
      <w:r/>
      <w:bookmarkStart w:id="138" w:name="_Toc151190149"/>
      <w:r/>
      <w:bookmarkStart w:id="139" w:name="_Toc226309766"/>
      <w:r/>
      <w:bookmarkStart w:id="140" w:name="_Toc150509273"/>
      <w:r/>
      <w:bookmarkStart w:id="141" w:name="_Toc520356146"/>
      <w:r/>
      <w:bookmarkStart w:id="142" w:name="_Toc151193910"/>
      <w:r/>
      <w:bookmarkStart w:id="143" w:name="_Toc127151522"/>
      <w:r/>
      <w:bookmarkStart w:id="144" w:name="_Toc151193836"/>
      <w:r/>
      <w:bookmarkStart w:id="145" w:name="_Toc195842887"/>
      <w:r/>
      <w:bookmarkStart w:id="146" w:name="_Toc142311024"/>
      <w:r/>
      <w:bookmarkStart w:id="147" w:name="_Toc226965795"/>
      <w:r/>
      <w:bookmarkStart w:id="148" w:name="_Toc151193764"/>
      <w:r>
        <w:rPr>
          <w:color w:val="000000"/>
          <w:sz w:val="28"/>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809"/>
        <w:numPr>
          <w:ilvl w:val="0"/>
          <w:numId w:val="9"/>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809"/>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809"/>
        <w:numPr>
          <w:ilvl w:val="2"/>
          <w:numId w:val="9"/>
        </w:numPr>
        <w:spacing w:line="360" w:lineRule="auto"/>
        <w:tabs>
          <w:tab w:val="left" w:pos="1980" w:leader="none"/>
        </w:tabs>
        <w:rPr>
          <w:rFonts w:ascii="Times New Roman" w:hAnsi="Times New Roman"/>
          <w:vanish/>
          <w:color w:val="000000"/>
          <w:sz w:val="24"/>
          <w:szCs w:val="24"/>
          <w:highlight w:val="none"/>
        </w:rPr>
      </w:pPr>
      <w:r>
        <w:rPr>
          <w:color w:val="000000"/>
          <w:sz w:val="24"/>
          <w:highlight w:val="none"/>
        </w:rPr>
        <w:t xml:space="preserve">中小企业定义：</w:t>
      </w:r>
      <w:r>
        <w:rPr>
          <w:rFonts w:ascii="Times New Roman" w:hAnsi="Times New Roman"/>
          <w:vanish/>
          <w:color w:val="000000"/>
          <w:sz w:val="24"/>
          <w:szCs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809"/>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809"/>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809"/>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09"/>
        <w:numPr>
          <w:ilvl w:val="2"/>
          <w:numId w:val="9"/>
        </w:numPr>
        <w:spacing w:line="360" w:lineRule="auto"/>
        <w:tabs>
          <w:tab w:val="left" w:pos="1980" w:leader="none"/>
        </w:tabs>
        <w:rPr>
          <w:rFonts w:ascii="Times New Roman" w:hAnsi="Times New Roman"/>
          <w:vanish/>
          <w:color w:val="000000"/>
          <w:sz w:val="24"/>
          <w:szCs w:val="24"/>
          <w:highlight w:val="none"/>
        </w:rPr>
      </w:pPr>
      <w:r>
        <w:rPr>
          <w:color w:val="000000"/>
          <w:sz w:val="24"/>
          <w:highlight w:val="none"/>
        </w:rPr>
        <w:t xml:space="preserve">残疾人福利单位定义：享受政府采购支持政策的残疾人福利性单位应当同时满足以下条件：</w:t>
      </w:r>
      <w:r>
        <w:rPr>
          <w:rFonts w:ascii="Times New Roman" w:hAnsi="Times New Roman"/>
          <w:vanish/>
          <w:color w:val="000000"/>
          <w:sz w:val="24"/>
          <w:szCs w:val="24"/>
          <w:highlight w:val="none"/>
        </w:rPr>
      </w:r>
      <w:r/>
    </w:p>
    <w:p>
      <w:pPr>
        <w:pStyle w:val="90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0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2"/>
          <w:numId w:val="9"/>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809"/>
        <w:numPr>
          <w:ilvl w:val="2"/>
          <w:numId w:val="9"/>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809"/>
        <w:numPr>
          <w:ilvl w:val="2"/>
          <w:numId w:val="9"/>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809"/>
        <w:numPr>
          <w:ilvl w:val="0"/>
          <w:numId w:val="0"/>
        </w:numPr>
        <w:ind w:left="1916" w:hanging="48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lang w:val="en-US" w:eastAsia="zh-CN"/>
        </w:rPr>
        <w:t xml:space="preserve">4.6.1</w:t>
      </w:r>
      <w:r>
        <w:rPr>
          <w:rFonts w:hint="eastAsia"/>
          <w:color w:val="000000"/>
          <w:sz w:val="24"/>
          <w:highlight w:val="none"/>
        </w:rPr>
        <w:t xml:space="preserve">采购人要将创新要求嵌入采购项目需求，可在采购文件中设定评审规</w:t>
      </w:r>
      <w:r>
        <w:rPr>
          <w:rFonts w:hint="eastAsia"/>
          <w:color w:val="000000"/>
          <w:sz w:val="24"/>
          <w:highlight w:val="none"/>
          <w:lang w:val="en-US" w:eastAsia="zh-CN"/>
        </w:rPr>
        <w:t xml:space="preserve">     </w:t>
      </w:r>
      <w:r>
        <w:rPr>
          <w:rFonts w:hint="eastAsia"/>
          <w:color w:val="000000"/>
          <w:sz w:val="24"/>
          <w:highlight w:val="none"/>
        </w:rPr>
        <w:t xml:space="preserve">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809"/>
        <w:ind w:left="900"/>
        <w:spacing w:line="480" w:lineRule="exact"/>
        <w:rPr>
          <w:rFonts w:ascii="宋体" w:hAnsi="宋体"/>
          <w:b/>
          <w:color w:val="000000"/>
          <w:sz w:val="24"/>
          <w:highlight w:val="none"/>
        </w:rPr>
      </w:pPr>
      <w:r>
        <w:rPr>
          <w:rFonts w:hint="eastAsia"/>
          <w:color w:val="000000"/>
          <w:sz w:val="24"/>
          <w:highlight w:val="none"/>
        </w:rPr>
        <w:t xml:space="preserve">4.7.1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809"/>
        <w:ind w:left="900"/>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09"/>
        <w:ind w:left="900"/>
        <w:spacing w:line="480" w:lineRule="exact"/>
        <w:rPr>
          <w:rFonts w:ascii="宋体" w:hAnsi="宋体"/>
          <w:color w:val="000000"/>
          <w:sz w:val="24"/>
          <w:highlight w:val="none"/>
        </w:rPr>
      </w:pPr>
      <w:r>
        <w:rPr>
          <w:rFonts w:hint="eastAsia" w:ascii="宋体" w:hAnsi="宋体"/>
          <w:color w:val="000000"/>
          <w:sz w:val="24"/>
          <w:highlight w:val="none"/>
        </w:rPr>
        <w:t xml:space="preserve">4.7.2 推广应用绿色建材</w:t>
      </w:r>
      <w:r>
        <w:rPr>
          <w:rFonts w:ascii="宋体" w:hAnsi="宋体"/>
          <w:color w:val="000000"/>
          <w:sz w:val="24"/>
          <w:highlight w:val="none"/>
        </w:rPr>
      </w:r>
      <w:r/>
    </w:p>
    <w:p>
      <w:pPr>
        <w:pStyle w:val="809"/>
        <w:ind w:left="900"/>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09"/>
        <w:ind w:left="900"/>
        <w:spacing w:line="480" w:lineRule="exact"/>
        <w:rPr>
          <w:rFonts w:ascii="宋体" w:hAnsi="宋体"/>
          <w:color w:val="000000"/>
          <w:sz w:val="24"/>
          <w:highlight w:val="none"/>
        </w:rPr>
      </w:pPr>
      <w:r>
        <w:rPr>
          <w:rFonts w:hint="eastAsia" w:ascii="宋体" w:hAnsi="宋体"/>
          <w:color w:val="000000"/>
          <w:sz w:val="24"/>
          <w:highlight w:val="none"/>
        </w:rPr>
        <w:t xml:space="preserve"> 4.7.3 优先使用低挥发性有机化合物产品</w:t>
      </w:r>
      <w:r>
        <w:rPr>
          <w:rFonts w:ascii="宋体" w:hAnsi="宋体"/>
          <w:color w:val="000000"/>
          <w:sz w:val="24"/>
          <w:highlight w:val="none"/>
        </w:rPr>
      </w:r>
      <w:r/>
    </w:p>
    <w:p>
      <w:pPr>
        <w:pStyle w:val="809"/>
        <w:numPr>
          <w:ilvl w:val="0"/>
          <w:numId w:val="0"/>
        </w:numPr>
        <w:ind w:left="958" w:firstLine="0"/>
        <w:spacing w:line="360" w:lineRule="auto"/>
        <w:tabs>
          <w:tab w:val="left" w:pos="2014" w:leader="none"/>
        </w:tabs>
        <w:rPr>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809"/>
        <w:ind w:left="1080"/>
        <w:spacing w:line="360" w:lineRule="auto"/>
        <w:tabs>
          <w:tab w:val="left" w:pos="1080" w:leader="none"/>
        </w:tabs>
        <w:rPr>
          <w:color w:val="000000"/>
          <w:sz w:val="28"/>
          <w:highlight w:val="none"/>
        </w:rPr>
      </w:pPr>
      <w:r/>
      <w:bookmarkStart w:id="149" w:name="_1.8_计量单位"/>
      <w:r/>
      <w:bookmarkEnd w:id="149"/>
      <w:r>
        <w:rPr>
          <w:color w:val="000000"/>
          <w:sz w:val="28"/>
          <w:highlight w:val="none"/>
        </w:rPr>
      </w:r>
      <w:r/>
    </w:p>
    <w:p>
      <w:pPr>
        <w:pStyle w:val="8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150" w:name="_Toc151193765"/>
      <w:r/>
      <w:bookmarkStart w:id="151" w:name="_Toc195842888"/>
      <w:r/>
      <w:bookmarkStart w:id="152" w:name="_Toc151193911"/>
      <w:r/>
      <w:bookmarkStart w:id="153" w:name="_Toc264969213"/>
      <w:r/>
      <w:bookmarkStart w:id="154" w:name="_Toc226309767"/>
      <w:r/>
      <w:bookmarkStart w:id="155" w:name="_Toc150509274"/>
      <w:r/>
      <w:bookmarkStart w:id="156" w:name="_Toc305158791"/>
      <w:r/>
      <w:bookmarkStart w:id="157" w:name="_Toc150774623"/>
      <w:r/>
      <w:bookmarkStart w:id="158" w:name="_Toc127151523"/>
      <w:r/>
      <w:bookmarkStart w:id="159" w:name="_Toc164608792"/>
      <w:r/>
      <w:bookmarkStart w:id="160" w:name="_Toc150480761"/>
      <w:r/>
      <w:bookmarkStart w:id="161" w:name="_Toc164351617"/>
      <w:r/>
      <w:bookmarkStart w:id="162" w:name="_Toc151193837"/>
      <w:r/>
      <w:bookmarkStart w:id="163" w:name="_Toc164608637"/>
      <w:r/>
      <w:bookmarkStart w:id="164" w:name="_Toc151193693"/>
      <w:r/>
      <w:bookmarkStart w:id="165" w:name="_Toc226965796"/>
      <w:r/>
      <w:bookmarkStart w:id="166" w:name="_Toc164229218"/>
      <w:r/>
      <w:bookmarkStart w:id="167" w:name="_Toc520356147"/>
      <w:r/>
      <w:bookmarkStart w:id="168" w:name="_Toc127151724"/>
      <w:r/>
      <w:bookmarkStart w:id="169" w:name="_Toc226337219"/>
      <w:r/>
      <w:bookmarkStart w:id="170" w:name="_Toc151190150"/>
      <w:r/>
      <w:bookmarkStart w:id="171" w:name="_Toc151193621"/>
      <w:r/>
      <w:bookmarkStart w:id="172" w:name="_Toc164229364"/>
      <w:r/>
      <w:bookmarkStart w:id="173" w:name="_Toc149720816"/>
      <w:r/>
      <w:bookmarkStart w:id="174" w:name="_Toc226965713"/>
      <w:r/>
      <w:bookmarkStart w:id="175" w:name="_Toc142311025"/>
      <w:r/>
      <w:bookmarkStart w:id="176" w:name="_Toc265228361"/>
      <w:r/>
      <w:bookmarkStart w:id="177" w:name="_Toc150774728"/>
      <w:r/>
      <w:bookmarkStart w:id="178" w:name="_Toc127161437"/>
      <w:r/>
      <w:bookmarkStart w:id="179" w:name="_Toc305158865"/>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809"/>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809"/>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809"/>
        <w:numPr>
          <w:ilvl w:val="1"/>
          <w:numId w:val="9"/>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809"/>
        <w:ind w:left="1080"/>
        <w:spacing w:line="360" w:lineRule="auto"/>
        <w:tabs>
          <w:tab w:val="left" w:pos="1080" w:leader="none"/>
          <w:tab w:val="left" w:pos="1561" w:leader="none"/>
        </w:tabs>
        <w:rPr>
          <w:color w:val="000000"/>
          <w:sz w:val="28"/>
          <w:highlight w:val="none"/>
        </w:rPr>
      </w:pPr>
      <w:r/>
      <w:bookmarkStart w:id="180" w:name="_Toc151193840"/>
      <w:r/>
      <w:bookmarkStart w:id="181" w:name="_Toc151190153"/>
      <w:r/>
      <w:bookmarkStart w:id="182" w:name="_Toc142311028"/>
      <w:r/>
      <w:bookmarkStart w:id="183" w:name="_Toc151193914"/>
      <w:r/>
      <w:bookmarkStart w:id="184" w:name="_Toc150509277"/>
      <w:r/>
      <w:bookmarkStart w:id="185" w:name="_Toc226965716"/>
      <w:r/>
      <w:bookmarkStart w:id="186" w:name="_Toc520356150"/>
      <w:r/>
      <w:bookmarkStart w:id="187" w:name="_Toc265228364"/>
      <w:r/>
      <w:bookmarkStart w:id="188" w:name="_Toc264969216"/>
      <w:r/>
      <w:bookmarkStart w:id="189" w:name="_Toc226309770"/>
      <w:r/>
      <w:bookmarkStart w:id="190" w:name="_Toc195842891"/>
      <w:r/>
      <w:bookmarkStart w:id="191" w:name="_Toc150480764"/>
      <w:r/>
      <w:bookmarkStart w:id="192" w:name="_Toc516367020"/>
      <w:r/>
      <w:bookmarkStart w:id="193" w:name="_Toc151193696"/>
      <w:r/>
      <w:bookmarkStart w:id="194" w:name="_Toc127151526"/>
      <w:r/>
      <w:bookmarkStart w:id="195" w:name="_Toc226965799"/>
      <w:r/>
      <w:bookmarkStart w:id="196" w:name="_Toc151193768"/>
      <w:r/>
      <w:bookmarkStart w:id="197" w:name="_Toc305158868"/>
      <w:r/>
      <w:bookmarkStart w:id="198" w:name="_Toc150774626"/>
      <w:r/>
      <w:bookmarkStart w:id="199" w:name="_Toc150774731"/>
      <w:r/>
      <w:bookmarkStart w:id="200" w:name="_Toc305158794"/>
      <w:r/>
      <w:bookmarkStart w:id="201" w:name="_Toc226337222"/>
      <w:r/>
      <w:bookmarkStart w:id="202" w:name="_Toc151193624"/>
      <w:r>
        <w:rPr>
          <w:color w:val="000000"/>
          <w:sz w:val="28"/>
          <w:highlight w:val="none"/>
        </w:rPr>
      </w:r>
      <w:r/>
    </w:p>
    <w:p>
      <w:pPr>
        <w:pStyle w:val="8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92"/>
      <w:r>
        <w:rPr>
          <w:rFonts w:ascii="Times New Roman" w:hAnsi="Times New Roman" w:eastAsia="宋体"/>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03" w:name="_Toc226965800"/>
      <w:r/>
      <w:bookmarkStart w:id="204" w:name="_Toc164229222"/>
      <w:r/>
      <w:bookmarkStart w:id="205" w:name="_Toc150774732"/>
      <w:r/>
      <w:bookmarkStart w:id="206" w:name="_Toc164608796"/>
      <w:r/>
      <w:bookmarkStart w:id="207" w:name="_Toc164229368"/>
      <w:r/>
      <w:bookmarkStart w:id="208" w:name="_Toc150509278"/>
      <w:r/>
      <w:bookmarkStart w:id="209" w:name="_Toc265228365"/>
      <w:r/>
      <w:bookmarkStart w:id="210" w:name="_Toc127151728"/>
      <w:r/>
      <w:bookmarkStart w:id="211" w:name="_Toc151193625"/>
      <w:r/>
      <w:bookmarkStart w:id="212" w:name="_Toc226965717"/>
      <w:r/>
      <w:bookmarkStart w:id="213" w:name="_Toc151190154"/>
      <w:r/>
      <w:bookmarkStart w:id="214" w:name="_Toc226337223"/>
      <w:r/>
      <w:bookmarkStart w:id="215" w:name="_Toc151193769"/>
      <w:r/>
      <w:bookmarkStart w:id="216" w:name="_Toc164351621"/>
      <w:r/>
      <w:bookmarkStart w:id="217" w:name="_Toc151193915"/>
      <w:r/>
      <w:bookmarkStart w:id="218" w:name="_Toc516367021"/>
      <w:r/>
      <w:bookmarkStart w:id="219" w:name="_Toc142311029"/>
      <w:r/>
      <w:bookmarkStart w:id="220" w:name="_Toc151193697"/>
      <w:r/>
      <w:bookmarkStart w:id="221" w:name="_Toc305158869"/>
      <w:r/>
      <w:bookmarkStart w:id="222" w:name="_Toc151193841"/>
      <w:r/>
      <w:bookmarkStart w:id="223" w:name="_Toc226309771"/>
      <w:r/>
      <w:bookmarkStart w:id="224" w:name="_Toc195842892"/>
      <w:r/>
      <w:bookmarkStart w:id="225" w:name="_Toc127161441"/>
      <w:r/>
      <w:bookmarkStart w:id="226" w:name="_Toc520356151"/>
      <w:r/>
      <w:bookmarkStart w:id="227" w:name="_Toc164608641"/>
      <w:r/>
      <w:bookmarkStart w:id="228" w:name="_Toc150774627"/>
      <w:r/>
      <w:bookmarkStart w:id="229" w:name="_Toc264969217"/>
      <w:r/>
      <w:bookmarkStart w:id="230" w:name="_Toc127151527"/>
      <w:r/>
      <w:bookmarkStart w:id="231" w:name="_Toc149720820"/>
      <w:r/>
      <w:bookmarkStart w:id="232" w:name="_Toc150480765"/>
      <w:r/>
      <w:bookmarkStart w:id="233" w:name="_Toc305158795"/>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34" w:name="_Toc226309772"/>
      <w:r/>
      <w:bookmarkStart w:id="235" w:name="_Toc150774733"/>
      <w:r/>
      <w:bookmarkStart w:id="236" w:name="_Toc127151528"/>
      <w:r/>
      <w:bookmarkStart w:id="237" w:name="_Toc164351622"/>
      <w:r/>
      <w:bookmarkStart w:id="238" w:name="_Toc195842893"/>
      <w:r/>
      <w:bookmarkStart w:id="239" w:name="_Toc151193770"/>
      <w:r/>
      <w:bookmarkStart w:id="240" w:name="_Toc520356152"/>
      <w:r/>
      <w:bookmarkStart w:id="241" w:name="_Toc305158870"/>
      <w:r/>
      <w:bookmarkStart w:id="242" w:name="_Toc151193842"/>
      <w:r/>
      <w:bookmarkStart w:id="243" w:name="_Toc142311030"/>
      <w:r/>
      <w:bookmarkStart w:id="244" w:name="_Toc151193698"/>
      <w:r/>
      <w:bookmarkStart w:id="245" w:name="_Toc264969218"/>
      <w:r/>
      <w:bookmarkStart w:id="246" w:name="_Toc127151729"/>
      <w:r/>
      <w:bookmarkStart w:id="247" w:name="_Toc226965718"/>
      <w:r/>
      <w:bookmarkStart w:id="248" w:name="_Toc164229369"/>
      <w:r/>
      <w:bookmarkStart w:id="249" w:name="_Toc150509279"/>
      <w:r/>
      <w:bookmarkStart w:id="250" w:name="_Toc305158796"/>
      <w:r/>
      <w:bookmarkStart w:id="251" w:name="_Toc516367022"/>
      <w:r/>
      <w:bookmarkStart w:id="252" w:name="_Toc151193916"/>
      <w:r/>
      <w:bookmarkStart w:id="253" w:name="_Toc151193626"/>
      <w:r/>
      <w:bookmarkStart w:id="254" w:name="_Toc265228366"/>
      <w:r/>
      <w:bookmarkStart w:id="255" w:name="_Toc226337224"/>
      <w:r/>
      <w:bookmarkStart w:id="256" w:name="_Toc127161442"/>
      <w:r/>
      <w:bookmarkStart w:id="257" w:name="_Toc149720821"/>
      <w:r/>
      <w:bookmarkStart w:id="258" w:name="_Toc226965801"/>
      <w:r/>
      <w:bookmarkStart w:id="259" w:name="_Toc150480766"/>
      <w:r/>
      <w:bookmarkStart w:id="260" w:name="_Ref467306676"/>
      <w:r/>
      <w:bookmarkStart w:id="261" w:name="_Ref467306195"/>
      <w:r/>
      <w:bookmarkStart w:id="262" w:name="_Toc151190155"/>
      <w:r/>
      <w:bookmarkStart w:id="263" w:name="_Toc164229223"/>
      <w:r/>
      <w:bookmarkStart w:id="264" w:name="_Toc164608797"/>
      <w:r/>
      <w:bookmarkStart w:id="265" w:name="_Toc164608642"/>
      <w:r/>
      <w:bookmarkStart w:id="266" w:name="_Toc150774628"/>
      <w:r>
        <w:rPr>
          <w:color w:val="000000"/>
          <w:sz w:val="24"/>
          <w:highlight w:val="none"/>
        </w:rPr>
        <w:t xml:space="preserve">响应文件</w:t>
      </w:r>
      <w:bookmarkEnd w:id="251"/>
      <w:r/>
      <w:bookmarkEnd w:id="260"/>
      <w:r/>
      <w:bookmarkEnd w:id="261"/>
      <w:r>
        <w:rPr>
          <w:color w:val="000000"/>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67"/>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68" w:name="_Toc142311032"/>
      <w:r/>
      <w:bookmarkStart w:id="269" w:name="_Toc164229371"/>
      <w:r/>
      <w:bookmarkStart w:id="270" w:name="_Toc151193918"/>
      <w:r/>
      <w:bookmarkStart w:id="271" w:name="_Toc164229225"/>
      <w:r/>
      <w:bookmarkStart w:id="272" w:name="_Toc127151731"/>
      <w:r/>
      <w:bookmarkStart w:id="273" w:name="_Toc149720823"/>
      <w:r/>
      <w:bookmarkStart w:id="274" w:name="_Toc151193700"/>
      <w:r/>
      <w:bookmarkStart w:id="275" w:name="_Toc150774630"/>
      <w:r/>
      <w:bookmarkStart w:id="276" w:name="_Toc151193844"/>
      <w:r/>
      <w:bookmarkStart w:id="277" w:name="_Toc150774735"/>
      <w:r/>
      <w:bookmarkStart w:id="278" w:name="_Toc127151530"/>
      <w:r/>
      <w:bookmarkStart w:id="279" w:name="_Toc151190157"/>
      <w:r/>
      <w:bookmarkStart w:id="280" w:name="_Toc164608644"/>
      <w:r/>
      <w:bookmarkStart w:id="281" w:name="_Toc164351624"/>
      <w:r/>
      <w:bookmarkStart w:id="282" w:name="_Toc195842895"/>
      <w:r/>
      <w:bookmarkStart w:id="283" w:name="_Toc127161444"/>
      <w:r/>
      <w:bookmarkStart w:id="284" w:name="_Toc520356155"/>
      <w:r/>
      <w:bookmarkStart w:id="285" w:name="_Toc151193772"/>
      <w:r/>
      <w:bookmarkStart w:id="286" w:name="_Toc150509281"/>
      <w:r/>
      <w:bookmarkStart w:id="287" w:name="_Toc151193628"/>
      <w:r/>
      <w:bookmarkStart w:id="288" w:name="_Toc150480768"/>
      <w:r/>
      <w:bookmarkStart w:id="289" w:name="_Toc164608799"/>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809"/>
        <w:numPr>
          <w:ilvl w:val="1"/>
          <w:numId w:val="9"/>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809"/>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290" w:name="_Toc150774633"/>
      <w:r/>
      <w:bookmarkStart w:id="291" w:name="_Toc164351627"/>
      <w:r/>
      <w:bookmarkStart w:id="292" w:name="_Toc520356158"/>
      <w:r/>
      <w:bookmarkStart w:id="293" w:name="_Toc164608802"/>
      <w:r/>
      <w:bookmarkStart w:id="294" w:name="_Toc150480771"/>
      <w:r/>
      <w:bookmarkStart w:id="295" w:name="_Toc150509284"/>
      <w:r/>
      <w:bookmarkStart w:id="296" w:name="_Toc127151533"/>
      <w:r/>
      <w:bookmarkStart w:id="297" w:name="_Toc150774738"/>
      <w:r/>
      <w:bookmarkStart w:id="298" w:name="_Toc305158875"/>
      <w:r/>
      <w:bookmarkStart w:id="299" w:name="_Toc127151734"/>
      <w:r/>
      <w:bookmarkStart w:id="300" w:name="_Toc149720826"/>
      <w:r/>
      <w:bookmarkStart w:id="301" w:name="_Toc305158801"/>
      <w:r/>
      <w:bookmarkStart w:id="302" w:name="_Toc264969223"/>
      <w:r/>
      <w:bookmarkStart w:id="303" w:name="_Toc265228371"/>
      <w:r/>
      <w:bookmarkStart w:id="304" w:name="_Toc226337229"/>
      <w:r/>
      <w:bookmarkStart w:id="305" w:name="_Toc164608647"/>
      <w:r/>
      <w:bookmarkStart w:id="306" w:name="_Toc226965723"/>
      <w:r/>
      <w:bookmarkStart w:id="307" w:name="_Toc151193703"/>
      <w:r/>
      <w:bookmarkStart w:id="308" w:name="_Toc151193775"/>
      <w:r/>
      <w:bookmarkStart w:id="309" w:name="_Toc151193921"/>
      <w:r/>
      <w:bookmarkStart w:id="310" w:name="_Toc164229228"/>
      <w:r/>
      <w:bookmarkStart w:id="311" w:name="_Toc151193631"/>
      <w:r/>
      <w:bookmarkStart w:id="312" w:name="_Toc226965806"/>
      <w:r/>
      <w:bookmarkStart w:id="313" w:name="_Toc151193847"/>
      <w:r/>
      <w:bookmarkStart w:id="314" w:name="_Toc226309777"/>
      <w:r/>
      <w:bookmarkStart w:id="315" w:name="_Toc127161447"/>
      <w:r/>
      <w:bookmarkStart w:id="316" w:name="_Toc142311035"/>
      <w:r/>
      <w:bookmarkStart w:id="317" w:name="_Toc195842898"/>
      <w:r/>
      <w:bookmarkStart w:id="318" w:name="_Toc151190160"/>
      <w:r/>
      <w:bookmarkStart w:id="319" w:name="_Toc164229374"/>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rPr>
          <w:color w:val="000000"/>
          <w:sz w:val="24"/>
          <w:highlight w:val="none"/>
        </w:rPr>
      </w:r>
      <w:r/>
    </w:p>
    <w:p>
      <w:pPr>
        <w:pStyle w:val="809"/>
        <w:numPr>
          <w:ilvl w:val="1"/>
          <w:numId w:val="9"/>
        </w:numPr>
        <w:spacing w:line="360" w:lineRule="auto"/>
        <w:tabs>
          <w:tab w:val="left" w:pos="1080" w:leader="none"/>
          <w:tab w:val="left" w:pos="1589" w:leader="none"/>
        </w:tabs>
        <w:rPr>
          <w:color w:val="000000"/>
          <w:sz w:val="24"/>
          <w:highlight w:val="none"/>
        </w:rPr>
      </w:pPr>
      <w:r/>
      <w:bookmarkStart w:id="320" w:name="_Toc150774739"/>
      <w:r/>
      <w:bookmarkStart w:id="321" w:name="_Toc195842899"/>
      <w:r/>
      <w:bookmarkStart w:id="322" w:name="_Toc226965807"/>
      <w:r/>
      <w:bookmarkStart w:id="323" w:name="_Toc520356159"/>
      <w:r/>
      <w:bookmarkStart w:id="324" w:name="_Toc150509285"/>
      <w:r/>
      <w:bookmarkStart w:id="325" w:name="_Toc151193922"/>
      <w:r/>
      <w:bookmarkStart w:id="326" w:name="_Toc305158802"/>
      <w:r/>
      <w:bookmarkStart w:id="327" w:name="_Toc151193848"/>
      <w:r/>
      <w:bookmarkStart w:id="328" w:name="_Toc150774634"/>
      <w:r/>
      <w:bookmarkStart w:id="329" w:name="_Toc226309778"/>
      <w:r/>
      <w:bookmarkStart w:id="330" w:name="_Toc151190161"/>
      <w:r/>
      <w:bookmarkStart w:id="331" w:name="_Toc226337230"/>
      <w:r/>
      <w:bookmarkStart w:id="332" w:name="_Toc142311036"/>
      <w:r/>
      <w:bookmarkStart w:id="333" w:name="_Toc151193704"/>
      <w:r/>
      <w:bookmarkStart w:id="334" w:name="_Toc151193776"/>
      <w:r/>
      <w:bookmarkStart w:id="335" w:name="_Toc151193632"/>
      <w:r/>
      <w:bookmarkStart w:id="336" w:name="_Toc305158876"/>
      <w:r/>
      <w:bookmarkStart w:id="337" w:name="_Toc264969224"/>
      <w:r/>
      <w:bookmarkStart w:id="338" w:name="_Toc226965724"/>
      <w:r/>
      <w:bookmarkStart w:id="339" w:name="_Toc265228372"/>
      <w:r/>
      <w:bookmarkStart w:id="340" w:name="_Toc127151534"/>
      <w:r/>
      <w:bookmarkStart w:id="341" w:name="_Toc150480772"/>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09"/>
        <w:ind w:left="357"/>
        <w:spacing w:line="360" w:lineRule="auto"/>
        <w:tabs>
          <w:tab w:val="left" w:pos="900" w:leader="none"/>
          <w:tab w:val="left" w:pos="1080" w:leader="none"/>
        </w:tabs>
        <w:rPr>
          <w:color w:val="000000"/>
          <w:highlight w:val="none"/>
        </w:rPr>
      </w:pPr>
      <w:r>
        <w:rPr>
          <w:color w:val="000000"/>
          <w:highlight w:val="none"/>
        </w:rPr>
      </w:r>
      <w:r/>
    </w:p>
    <w:p>
      <w:pPr>
        <w:pStyle w:val="8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42" w:name="_Toc149720828"/>
      <w:r/>
      <w:bookmarkStart w:id="343" w:name="_Toc195842900"/>
      <w:r/>
      <w:bookmarkStart w:id="344" w:name="_Toc150509286"/>
      <w:r/>
      <w:bookmarkStart w:id="345" w:name="_Toc164608649"/>
      <w:r/>
      <w:bookmarkStart w:id="346" w:name="_Toc226965725"/>
      <w:r/>
      <w:bookmarkStart w:id="347" w:name="_Toc305158877"/>
      <w:r/>
      <w:bookmarkStart w:id="348" w:name="_Toc164608804"/>
      <w:r/>
      <w:bookmarkStart w:id="349" w:name="_Toc520356160"/>
      <w:r/>
      <w:bookmarkStart w:id="350" w:name="_Toc226337231"/>
      <w:r/>
      <w:bookmarkStart w:id="351" w:name="_Toc151193633"/>
      <w:r/>
      <w:bookmarkStart w:id="352" w:name="_Toc151193777"/>
      <w:r/>
      <w:bookmarkStart w:id="353" w:name="_Toc150480773"/>
      <w:r/>
      <w:bookmarkStart w:id="354" w:name="_Toc127151535"/>
      <w:r/>
      <w:bookmarkStart w:id="355" w:name="_Toc127161449"/>
      <w:r/>
      <w:bookmarkStart w:id="356" w:name="_Toc151193923"/>
      <w:r/>
      <w:bookmarkStart w:id="357" w:name="_Toc164229230"/>
      <w:r/>
      <w:bookmarkStart w:id="358" w:name="_Toc142311037"/>
      <w:r/>
      <w:bookmarkStart w:id="359" w:name="_Toc151193705"/>
      <w:r/>
      <w:bookmarkStart w:id="360" w:name="_Toc164351629"/>
      <w:r/>
      <w:bookmarkStart w:id="361" w:name="_Toc265228373"/>
      <w:r/>
      <w:bookmarkStart w:id="362" w:name="_Toc164229376"/>
      <w:r/>
      <w:bookmarkStart w:id="363" w:name="_Toc226309779"/>
      <w:r/>
      <w:bookmarkStart w:id="364" w:name="_Toc264969225"/>
      <w:r/>
      <w:bookmarkStart w:id="365" w:name="_Toc151190162"/>
      <w:r/>
      <w:bookmarkStart w:id="366" w:name="_Toc150774740"/>
      <w:r/>
      <w:bookmarkStart w:id="367" w:name="_Toc226965808"/>
      <w:r/>
      <w:bookmarkStart w:id="368" w:name="_Toc305158803"/>
      <w:r/>
      <w:bookmarkStart w:id="369" w:name="_Toc151193849"/>
      <w:r/>
      <w:bookmarkStart w:id="370" w:name="_Toc127151736"/>
      <w:r/>
      <w:bookmarkStart w:id="371" w:name="_Toc150774635"/>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本项目使用常州市政府采购业务管理平台。供应商根据竞争性磋商文件及常州市政府采购业务管理平台供应商操作手册要求编制、生成并提交电子响应文件。</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372" w:name="_Toc127161450"/>
      <w:r/>
      <w:bookmarkStart w:id="373" w:name="_Toc164229231"/>
      <w:r/>
      <w:bookmarkStart w:id="374" w:name="_Toc226965726"/>
      <w:r/>
      <w:bookmarkStart w:id="375" w:name="_Toc151193634"/>
      <w:r/>
      <w:bookmarkStart w:id="376" w:name="_Toc226309780"/>
      <w:r/>
      <w:bookmarkStart w:id="377" w:name="_Toc127151737"/>
      <w:r/>
      <w:bookmarkStart w:id="378" w:name="_Toc305158804"/>
      <w:r/>
      <w:bookmarkStart w:id="379" w:name="_Toc151193850"/>
      <w:r/>
      <w:bookmarkStart w:id="380" w:name="_Toc195842901"/>
      <w:r/>
      <w:bookmarkStart w:id="381" w:name="_Toc151193778"/>
      <w:r/>
      <w:bookmarkStart w:id="382" w:name="_Toc305158878"/>
      <w:r/>
      <w:bookmarkStart w:id="383" w:name="_Toc164351630"/>
      <w:r/>
      <w:bookmarkStart w:id="384" w:name="_Toc520356161"/>
      <w:r/>
      <w:bookmarkStart w:id="385" w:name="_Toc151193924"/>
      <w:r/>
      <w:bookmarkStart w:id="386" w:name="_Toc226965809"/>
      <w:r/>
      <w:bookmarkStart w:id="387" w:name="_Toc127151536"/>
      <w:r/>
      <w:bookmarkStart w:id="388" w:name="_Toc150774636"/>
      <w:r/>
      <w:bookmarkStart w:id="389" w:name="_Toc226337232"/>
      <w:r/>
      <w:bookmarkStart w:id="390" w:name="_Toc164229377"/>
      <w:r/>
      <w:bookmarkStart w:id="391" w:name="_Toc265228374"/>
      <w:r/>
      <w:bookmarkStart w:id="392" w:name="_Toc151190163"/>
      <w:r/>
      <w:bookmarkStart w:id="393" w:name="_Toc142311038"/>
      <w:r/>
      <w:bookmarkStart w:id="394" w:name="_Toc150480774"/>
      <w:r/>
      <w:bookmarkStart w:id="395" w:name="_Toc149720829"/>
      <w:r/>
      <w:bookmarkStart w:id="396" w:name="_Toc150509287"/>
      <w:r/>
      <w:bookmarkStart w:id="397" w:name="_Toc164608805"/>
      <w:r/>
      <w:bookmarkStart w:id="398" w:name="_Toc151193706"/>
      <w:r/>
      <w:bookmarkStart w:id="399" w:name="_Toc264969226"/>
      <w:r/>
      <w:bookmarkStart w:id="400" w:name="_Toc150774741"/>
      <w:r/>
      <w:bookmarkStart w:id="401" w:name="_Toc164608650"/>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供应商应在竞争性磋商文件要求提交响应文件截止时间前，将电子响应文件提交至常州市政府采购业务管理平台。</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02" w:name="_Toc164608806"/>
      <w:r/>
      <w:bookmarkStart w:id="403" w:name="_Toc127151537"/>
      <w:r/>
      <w:bookmarkStart w:id="404" w:name="_Toc127151738"/>
      <w:r/>
      <w:bookmarkStart w:id="405" w:name="_Toc151193779"/>
      <w:r/>
      <w:bookmarkStart w:id="406" w:name="_Toc150480775"/>
      <w:r/>
      <w:bookmarkStart w:id="407" w:name="_Toc151193707"/>
      <w:r/>
      <w:bookmarkStart w:id="408" w:name="_Toc142311039"/>
      <w:r/>
      <w:bookmarkStart w:id="409" w:name="_Toc226965727"/>
      <w:r/>
      <w:bookmarkStart w:id="410" w:name="_Toc226965810"/>
      <w:r/>
      <w:bookmarkStart w:id="411" w:name="_Toc264969227"/>
      <w:r/>
      <w:bookmarkStart w:id="412" w:name="_Toc150509288"/>
      <w:r/>
      <w:bookmarkStart w:id="413" w:name="_Toc164229378"/>
      <w:r/>
      <w:bookmarkStart w:id="414" w:name="_Toc305158805"/>
      <w:r/>
      <w:bookmarkStart w:id="415" w:name="_Toc150774637"/>
      <w:r/>
      <w:bookmarkStart w:id="416" w:name="_Toc151193635"/>
      <w:r/>
      <w:bookmarkStart w:id="417" w:name="_Toc305158879"/>
      <w:r/>
      <w:bookmarkStart w:id="418" w:name="_Toc149720830"/>
      <w:r/>
      <w:bookmarkStart w:id="419" w:name="_Toc226309781"/>
      <w:r/>
      <w:bookmarkStart w:id="420" w:name="_Toc164608651"/>
      <w:r/>
      <w:bookmarkStart w:id="421" w:name="_Toc150774742"/>
      <w:r/>
      <w:bookmarkStart w:id="422" w:name="_Toc164229232"/>
      <w:r/>
      <w:bookmarkStart w:id="423" w:name="_Toc127161451"/>
      <w:r/>
      <w:bookmarkStart w:id="424" w:name="_Toc151193925"/>
      <w:r/>
      <w:bookmarkStart w:id="425" w:name="_Toc195842902"/>
      <w:r/>
      <w:bookmarkStart w:id="426" w:name="_Toc265228375"/>
      <w:r/>
      <w:bookmarkStart w:id="427" w:name="_Toc164351631"/>
      <w:r/>
      <w:bookmarkStart w:id="428" w:name="_Toc226337233"/>
      <w:r/>
      <w:bookmarkStart w:id="429" w:name="_Toc520356162"/>
      <w:r/>
      <w:bookmarkStart w:id="430" w:name="_Toc151193851"/>
      <w:r/>
      <w:bookmarkStart w:id="431" w:name="_Toc151190164"/>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w:t>
      </w:r>
      <w:r>
        <w:rPr>
          <w:color w:val="000000"/>
          <w:sz w:val="24"/>
          <w:highlight w:val="none"/>
        </w:rPr>
        <w:t xml:space="preserve">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t xml:space="preserve">。</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809"/>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811"/>
        <w:spacing w:before="0" w:line="360" w:lineRule="auto"/>
        <w:rPr>
          <w:rFonts w:ascii="Times New Roman" w:hAnsi="Times New Roman" w:eastAsia="宋体"/>
          <w:color w:val="000000"/>
          <w:sz w:val="28"/>
          <w:highlight w:val="none"/>
        </w:rPr>
      </w:pPr>
      <w:r/>
      <w:bookmarkStart w:id="432" w:name="_Toc151193926"/>
      <w:r/>
      <w:bookmarkStart w:id="433" w:name="_Toc151193636"/>
      <w:r/>
      <w:bookmarkStart w:id="434" w:name="_Toc150774638"/>
      <w:r/>
      <w:bookmarkStart w:id="435" w:name="_Toc305158806"/>
      <w:r/>
      <w:bookmarkStart w:id="436" w:name="_Toc305158880"/>
      <w:r/>
      <w:bookmarkStart w:id="437" w:name="_Toc151193708"/>
      <w:r/>
      <w:bookmarkStart w:id="438" w:name="_Toc226965728"/>
      <w:r/>
      <w:bookmarkStart w:id="439" w:name="_Toc226965811"/>
      <w:r/>
      <w:bookmarkStart w:id="440" w:name="_Toc226309782"/>
      <w:r/>
      <w:bookmarkStart w:id="441" w:name="_Toc226337234"/>
      <w:r/>
      <w:bookmarkStart w:id="442" w:name="_Toc150480776"/>
      <w:r/>
      <w:bookmarkStart w:id="443" w:name="_Toc265228376"/>
      <w:r/>
      <w:bookmarkStart w:id="444" w:name="_Toc150774743"/>
      <w:r/>
      <w:bookmarkStart w:id="445" w:name="_Toc264969228"/>
      <w:r/>
      <w:bookmarkStart w:id="446" w:name="_Toc127151538"/>
      <w:r/>
      <w:bookmarkStart w:id="447" w:name="_Toc195842903"/>
      <w:r/>
      <w:bookmarkStart w:id="448" w:name="_Toc520356163"/>
      <w:r/>
      <w:bookmarkStart w:id="449" w:name="_Toc151193852"/>
      <w:r/>
      <w:bookmarkStart w:id="450" w:name="_Toc151193780"/>
      <w:r/>
      <w:bookmarkStart w:id="451" w:name="_Toc151190165"/>
      <w:r/>
      <w:bookmarkStart w:id="452" w:name="_Toc142311040"/>
      <w:r/>
      <w:bookmarkStart w:id="453" w:name="_Toc150509289"/>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使用常州市政府采购业务管理平台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rPr>
          <w:rFonts w:hint="eastAsia"/>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color w:val="000000"/>
          <w:sz w:val="24"/>
          <w:highlight w:val="none"/>
          <w:lang w:bidi="ar"/>
        </w:rPr>
        <w:t xml:space="preserve">常州市政府采购业务管理平台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09"/>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09"/>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09"/>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09"/>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09"/>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End w:id="454"/>
      <w:r>
        <w:rPr>
          <w:color w:val="000000"/>
          <w:sz w:val="24"/>
          <w:highlight w:val="none"/>
        </w:rPr>
        <w:t xml:space="preserve">磋商小组</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color w:val="000000"/>
          <w:sz w:val="24"/>
          <w:highlight w:val="none"/>
        </w:rPr>
      </w:r>
      <w:r/>
    </w:p>
    <w:p>
      <w:pPr>
        <w:pStyle w:val="809"/>
        <w:numPr>
          <w:ilvl w:val="0"/>
          <w:numId w:val="9"/>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809"/>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11"/>
        <w:spacing w:before="0" w:line="360" w:lineRule="auto"/>
        <w:rPr>
          <w:rFonts w:ascii="Times New Roman" w:hAnsi="Times New Roman" w:eastAsia="宋体"/>
          <w:color w:val="000000"/>
          <w:sz w:val="28"/>
          <w:highlight w:val="none"/>
        </w:rPr>
      </w:pPr>
      <w:r/>
      <w:bookmarkStart w:id="457" w:name="_Toc226337241"/>
      <w:r/>
      <w:bookmarkStart w:id="458" w:name="_Toc195842910"/>
      <w:r/>
      <w:bookmarkStart w:id="459" w:name="_Toc151193933"/>
      <w:r/>
      <w:bookmarkStart w:id="460" w:name="_Toc150509296"/>
      <w:r/>
      <w:bookmarkStart w:id="461" w:name="_Toc264969235"/>
      <w:r/>
      <w:bookmarkStart w:id="462" w:name="_Toc150774750"/>
      <w:r/>
      <w:bookmarkStart w:id="463" w:name="_Toc142311047"/>
      <w:r/>
      <w:bookmarkStart w:id="464" w:name="_Toc226965818"/>
      <w:r/>
      <w:bookmarkStart w:id="465" w:name="_Toc151193859"/>
      <w:r/>
      <w:bookmarkStart w:id="466" w:name="_Toc150774645"/>
      <w:r/>
      <w:bookmarkStart w:id="467" w:name="_Toc265228383"/>
      <w:r/>
      <w:bookmarkStart w:id="468" w:name="_Toc226965735"/>
      <w:r/>
      <w:bookmarkStart w:id="469" w:name="_Toc151190172"/>
      <w:r/>
      <w:bookmarkStart w:id="470" w:name="_Toc226309789"/>
      <w:r/>
      <w:bookmarkStart w:id="471" w:name="_Toc305158887"/>
      <w:r/>
      <w:bookmarkStart w:id="472" w:name="_Toc305158813"/>
      <w:r/>
      <w:bookmarkStart w:id="473" w:name="_Toc151193643"/>
      <w:r/>
      <w:bookmarkStart w:id="474" w:name="_Toc127151545"/>
      <w:r/>
      <w:bookmarkStart w:id="475" w:name="_Toc151193715"/>
      <w:r/>
      <w:bookmarkStart w:id="476" w:name="_Toc151193787"/>
      <w:r/>
      <w:bookmarkStart w:id="477" w:name="_Toc150480783"/>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78" w:name="_Toc305158815"/>
      <w:r/>
      <w:bookmarkStart w:id="479" w:name="_Toc150480785"/>
      <w:r/>
      <w:bookmarkStart w:id="480" w:name="_Toc164608661"/>
      <w:r/>
      <w:bookmarkStart w:id="481" w:name="_Toc265228385"/>
      <w:r/>
      <w:bookmarkStart w:id="482" w:name="_Toc150774752"/>
      <w:r/>
      <w:bookmarkStart w:id="483" w:name="_Toc151193717"/>
      <w:r/>
      <w:bookmarkStart w:id="484" w:name="_Toc305158889"/>
      <w:r/>
      <w:bookmarkStart w:id="485" w:name="_Toc151193935"/>
      <w:r/>
      <w:bookmarkStart w:id="486" w:name="_Toc127151547"/>
      <w:r/>
      <w:bookmarkStart w:id="487" w:name="_Toc226337243"/>
      <w:r/>
      <w:bookmarkStart w:id="488" w:name="_Toc127151748"/>
      <w:r/>
      <w:bookmarkStart w:id="489" w:name="_Toc127161461"/>
      <w:r/>
      <w:bookmarkStart w:id="490" w:name="_Toc226309791"/>
      <w:r/>
      <w:bookmarkStart w:id="491" w:name="_Toc149720840"/>
      <w:r/>
      <w:bookmarkStart w:id="492" w:name="_Toc164229242"/>
      <w:r/>
      <w:bookmarkStart w:id="493" w:name="_Toc151193789"/>
      <w:r/>
      <w:bookmarkStart w:id="494" w:name="_Toc226965820"/>
      <w:r/>
      <w:bookmarkStart w:id="495" w:name="_Toc151190174"/>
      <w:r/>
      <w:bookmarkStart w:id="496" w:name="_Toc150774647"/>
      <w:r/>
      <w:bookmarkStart w:id="497" w:name="_Toc151193861"/>
      <w:r/>
      <w:bookmarkStart w:id="498" w:name="_Toc150509298"/>
      <w:r/>
      <w:bookmarkStart w:id="499" w:name="_Toc226965737"/>
      <w:r/>
      <w:bookmarkStart w:id="500" w:name="_Toc164351641"/>
      <w:r/>
      <w:bookmarkStart w:id="501" w:name="_Toc151193645"/>
      <w:r/>
      <w:bookmarkStart w:id="502" w:name="_Toc164229388"/>
      <w:r/>
      <w:bookmarkStart w:id="503" w:name="_Toc195842912"/>
      <w:r/>
      <w:bookmarkStart w:id="504" w:name="_Toc142311049"/>
      <w:r/>
      <w:bookmarkStart w:id="505" w:name="_Toc164608816"/>
      <w:r/>
      <w:bookmarkStart w:id="506" w:name="_Toc264969237"/>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507" w:name="_Toc226337245"/>
      <w:r/>
      <w:bookmarkStart w:id="508" w:name="_Toc150480787"/>
      <w:r/>
      <w:bookmarkStart w:id="509" w:name="_Toc264969239"/>
      <w:r/>
      <w:bookmarkStart w:id="510" w:name="_Toc151193791"/>
      <w:r/>
      <w:bookmarkStart w:id="511" w:name="_Toc127161463"/>
      <w:r/>
      <w:bookmarkStart w:id="512" w:name="_Toc127151549"/>
      <w:r/>
      <w:bookmarkStart w:id="513" w:name="_Toc226965822"/>
      <w:r/>
      <w:bookmarkStart w:id="514" w:name="_Toc164229390"/>
      <w:r/>
      <w:bookmarkStart w:id="515" w:name="_Toc226965739"/>
      <w:r/>
      <w:bookmarkStart w:id="516" w:name="_Toc150774649"/>
      <w:r/>
      <w:bookmarkStart w:id="517" w:name="_Toc164229244"/>
      <w:r/>
      <w:bookmarkStart w:id="518" w:name="_Toc151193647"/>
      <w:r/>
      <w:bookmarkStart w:id="519" w:name="_Toc164608818"/>
      <w:r/>
      <w:bookmarkStart w:id="520" w:name="_Toc150774754"/>
      <w:r/>
      <w:bookmarkStart w:id="521" w:name="_Toc226309793"/>
      <w:r/>
      <w:bookmarkStart w:id="522" w:name="_Toc151193719"/>
      <w:r/>
      <w:bookmarkStart w:id="523" w:name="_Toc151193937"/>
      <w:r/>
      <w:bookmarkStart w:id="524" w:name="_Toc150509300"/>
      <w:r/>
      <w:bookmarkStart w:id="525" w:name="_Toc127151750"/>
      <w:r/>
      <w:bookmarkStart w:id="526" w:name="_Toc149720842"/>
      <w:r/>
      <w:bookmarkStart w:id="527" w:name="_Toc195842914"/>
      <w:r/>
      <w:bookmarkStart w:id="528" w:name="_Toc164351643"/>
      <w:r/>
      <w:bookmarkStart w:id="529" w:name="_Toc305158891"/>
      <w:r/>
      <w:bookmarkStart w:id="530" w:name="_Toc305158817"/>
      <w:r/>
      <w:bookmarkStart w:id="531" w:name="_Toc151193863"/>
      <w:r/>
      <w:bookmarkStart w:id="532" w:name="_Toc142311051"/>
      <w:r/>
      <w:bookmarkStart w:id="533" w:name="_Ref467306425"/>
      <w:r/>
      <w:bookmarkStart w:id="534" w:name="_Toc164608663"/>
      <w:r/>
      <w:bookmarkStart w:id="535" w:name="_Toc520356176"/>
      <w:r/>
      <w:bookmarkStart w:id="536" w:name="_Toc151190176"/>
      <w:r/>
      <w:bookmarkStart w:id="537" w:name="_Toc265228387"/>
      <w:r/>
      <w:bookmarkStart w:id="538" w:name="_Ref467307090"/>
      <w:r>
        <w:rPr>
          <w:color w:val="000000"/>
          <w:sz w:val="24"/>
          <w:highlight w:val="none"/>
        </w:rPr>
        <w:t xml:space="preserve">成交公告与成交通知书</w:t>
      </w:r>
      <w:bookmarkEnd w:id="529"/>
      <w:r/>
      <w:bookmarkEnd w:id="530"/>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809"/>
        <w:numPr>
          <w:ilvl w:val="1"/>
          <w:numId w:val="9"/>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809"/>
        <w:numPr>
          <w:ilvl w:val="2"/>
          <w:numId w:val="9"/>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809"/>
        <w:numPr>
          <w:ilvl w:val="2"/>
          <w:numId w:val="9"/>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Toc150774650"/>
      <w:r/>
      <w:bookmarkStart w:id="540" w:name="_Toc150509301"/>
      <w:r/>
      <w:bookmarkStart w:id="541" w:name="_Toc305158818"/>
      <w:r/>
      <w:bookmarkStart w:id="542" w:name="_Toc226965823"/>
      <w:r/>
      <w:bookmarkStart w:id="543" w:name="_Toc127151550"/>
      <w:r/>
      <w:bookmarkStart w:id="544" w:name="_Ref467306377"/>
      <w:r/>
      <w:bookmarkStart w:id="545" w:name="_Toc127151751"/>
      <w:r/>
      <w:bookmarkStart w:id="546" w:name="_Toc164608664"/>
      <w:r/>
      <w:bookmarkStart w:id="547" w:name="_Toc150774755"/>
      <w:r/>
      <w:bookmarkStart w:id="548" w:name="_Toc127161464"/>
      <w:r/>
      <w:bookmarkStart w:id="549" w:name="_Toc305158892"/>
      <w:r/>
      <w:bookmarkStart w:id="550" w:name="_Toc226965740"/>
      <w:r/>
      <w:bookmarkStart w:id="551" w:name="_Toc164608819"/>
      <w:r/>
      <w:bookmarkStart w:id="552" w:name="_Ref467306978"/>
      <w:r/>
      <w:bookmarkStart w:id="553" w:name="_Toc151193648"/>
      <w:r/>
      <w:bookmarkStart w:id="554" w:name="_Toc264969240"/>
      <w:r/>
      <w:bookmarkStart w:id="555" w:name="_Toc151193864"/>
      <w:r/>
      <w:bookmarkStart w:id="556" w:name="_Toc142311052"/>
      <w:r/>
      <w:bookmarkStart w:id="557" w:name="_Toc151193792"/>
      <w:r/>
      <w:bookmarkStart w:id="558" w:name="_Ref467307204"/>
      <w:r/>
      <w:bookmarkStart w:id="559" w:name="_Toc151193720"/>
      <w:r/>
      <w:bookmarkStart w:id="560" w:name="_Toc226337246"/>
      <w:r/>
      <w:bookmarkStart w:id="561" w:name="_Ref467307062"/>
      <w:r/>
      <w:bookmarkStart w:id="562" w:name="_Toc149720843"/>
      <w:r/>
      <w:bookmarkStart w:id="563" w:name="_Toc265228388"/>
      <w:r/>
      <w:bookmarkStart w:id="564" w:name="_Toc150480788"/>
      <w:r/>
      <w:bookmarkStart w:id="565" w:name="_Toc226309794"/>
      <w:r/>
      <w:bookmarkStart w:id="566" w:name="_Toc164229391"/>
      <w:r/>
      <w:bookmarkStart w:id="567" w:name="_Toc164351644"/>
      <w:r/>
      <w:bookmarkStart w:id="568" w:name="_Toc164229245"/>
      <w:r/>
      <w:bookmarkStart w:id="569" w:name="_Toc151193938"/>
      <w:r/>
      <w:bookmarkStart w:id="570" w:name="_Toc195842915"/>
      <w:r/>
      <w:bookmarkStart w:id="571" w:name="_Toc151190177"/>
      <w:r/>
      <w:bookmarkStart w:id="572" w:name="_Toc520356175"/>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bookmarkEnd w:id="533"/>
      <w:r/>
      <w:bookmarkEnd w:id="535"/>
      <w:r/>
      <w:bookmarkEnd w:id="538"/>
      <w:r>
        <w:rPr>
          <w:color w:val="000000"/>
          <w:sz w:val="24"/>
          <w:highlight w:val="none"/>
        </w:rPr>
        <w:t xml:space="preserve">询问与质疑</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87"/>
          <w:color w:val="000000"/>
          <w:highlight w:val="none"/>
        </w:rPr>
        <w:t xml:space="preserve">http://gk</w:t>
      </w:r>
      <w:bookmarkStart w:id="573" w:name="_Hlt100654014"/>
      <w:r>
        <w:rPr>
          <w:rStyle w:val="887"/>
          <w:color w:val="000000"/>
          <w:highlight w:val="none"/>
        </w:rPr>
        <w:t xml:space="preserve">s</w:t>
      </w:r>
      <w:bookmarkEnd w:id="573"/>
      <w:r>
        <w:rPr>
          <w:rStyle w:val="887"/>
          <w:color w:val="000000"/>
          <w:highlight w:val="none"/>
        </w:rPr>
        <w:t xml:space="preserve">.m</w:t>
      </w:r>
      <w:bookmarkStart w:id="574" w:name="_Hlt100653994"/>
      <w:r/>
      <w:bookmarkStart w:id="575" w:name="_Hlt100653993"/>
      <w:r>
        <w:rPr>
          <w:rStyle w:val="887"/>
          <w:color w:val="000000"/>
          <w:highlight w:val="none"/>
        </w:rPr>
        <w:t xml:space="preserve">o</w:t>
      </w:r>
      <w:bookmarkEnd w:id="574"/>
      <w:r/>
      <w:bookmarkEnd w:id="575"/>
      <w:r/>
      <w:bookmarkStart w:id="576" w:name="_Hlt101169156"/>
      <w:r>
        <w:rPr>
          <w:rStyle w:val="887"/>
          <w:color w:val="000000"/>
          <w:highlight w:val="none"/>
        </w:rPr>
        <w:t xml:space="preserve">f</w:t>
      </w:r>
      <w:bookmarkEnd w:id="576"/>
      <w:r>
        <w:rPr>
          <w:rStyle w:val="887"/>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809"/>
        <w:numPr>
          <w:ilvl w:val="2"/>
          <w:numId w:val="9"/>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809"/>
        <w:numPr>
          <w:ilvl w:val="0"/>
          <w:numId w:val="9"/>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bookmarkStart w:id="577" w:name="_Toc127151554"/>
      <w:r/>
      <w:bookmarkStart w:id="578" w:name="_Toc305158896"/>
      <w:r/>
      <w:bookmarkStart w:id="579" w:name="_Toc264969244"/>
      <w:r/>
      <w:bookmarkStart w:id="580" w:name="_Toc353873934"/>
      <w:r/>
      <w:bookmarkStart w:id="581" w:name="_Toc150480792"/>
      <w:r/>
      <w:bookmarkStart w:id="582" w:name="_Toc305158822"/>
      <w:r/>
      <w:bookmarkStart w:id="583" w:name="_Toc150774759"/>
      <w:r/>
      <w:bookmarkStart w:id="584" w:name="_Toc226337250"/>
      <w:r/>
      <w:bookmarkStart w:id="585" w:name="_Toc353825544"/>
      <w:r/>
      <w:bookmarkStart w:id="586" w:name="_Toc142311056"/>
      <w:r/>
      <w:bookmarkStart w:id="587" w:name="_Toc265228392"/>
      <w:r/>
      <w:bookmarkStart w:id="588" w:name="_Toc226965827"/>
      <w:r/>
      <w:bookmarkStart w:id="589" w:name="_Toc353873664"/>
      <w:r>
        <w:rPr>
          <w:rFonts w:hint="eastAsia"/>
          <w:color w:val="000000"/>
          <w:sz w:val="24"/>
          <w:highlight w:val="none"/>
        </w:rPr>
        <w:t xml:space="preserve">集中采购机构不收取代理费。</w:t>
      </w:r>
      <w:r>
        <w:rPr>
          <w:color w:val="000000"/>
          <w:sz w:val="24"/>
          <w:highlight w:val="none"/>
        </w:rPr>
      </w:r>
      <w:r/>
    </w:p>
    <w:p>
      <w:pPr>
        <w:pStyle w:val="809"/>
        <w:numPr>
          <w:ilvl w:val="1"/>
          <w:numId w:val="9"/>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r>
      <w:r/>
    </w:p>
    <w:p>
      <w:pPr>
        <w:pStyle w:val="809"/>
        <w:jc w:val="center"/>
        <w:spacing w:line="360" w:lineRule="auto"/>
        <w:rPr>
          <w:b/>
          <w:color w:val="000000"/>
          <w:sz w:val="36"/>
          <w:szCs w:val="36"/>
          <w:highlight w:val="none"/>
        </w:rPr>
        <w:outlineLvl w:val="0"/>
      </w:pPr>
      <w:r/>
      <w:bookmarkStart w:id="590" w:name="_Toc104818927"/>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Pr>
          <w:b/>
          <w:color w:val="000000"/>
          <w:sz w:val="36"/>
          <w:szCs w:val="36"/>
          <w:highlight w:val="none"/>
        </w:rPr>
      </w:r>
      <w:r/>
    </w:p>
    <w:p>
      <w:pPr>
        <w:pStyle w:val="811"/>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809"/>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3639"/>
      <w:r/>
      <w:bookmarkStart w:id="593" w:name="_Toc164608655"/>
      <w:r/>
      <w:bookmarkStart w:id="594" w:name="_Toc305158883"/>
      <w:r/>
      <w:bookmarkStart w:id="595" w:name="_Toc150509292"/>
      <w:r/>
      <w:bookmarkStart w:id="596" w:name="_Toc226309785"/>
      <w:r/>
      <w:bookmarkStart w:id="597" w:name="_Toc127161455"/>
      <w:r/>
      <w:bookmarkStart w:id="598" w:name="_Toc264969231"/>
      <w:r/>
      <w:bookmarkStart w:id="599" w:name="_Toc164229236"/>
      <w:r/>
      <w:bookmarkStart w:id="600" w:name="_Toc127151742"/>
      <w:r/>
      <w:bookmarkStart w:id="601" w:name="_Toc226965814"/>
      <w:r/>
      <w:bookmarkStart w:id="602" w:name="_Toc265228379"/>
      <w:r/>
      <w:bookmarkStart w:id="603" w:name="_Toc150774746"/>
      <w:r/>
      <w:bookmarkStart w:id="604" w:name="_Toc150774641"/>
      <w:r/>
      <w:bookmarkStart w:id="605" w:name="_Toc151190168"/>
      <w:r/>
      <w:bookmarkStart w:id="606" w:name="_Toc150480779"/>
      <w:r/>
      <w:bookmarkStart w:id="607" w:name="_Toc226337237"/>
      <w:r/>
      <w:bookmarkStart w:id="608" w:name="_Toc305158809"/>
      <w:r/>
      <w:bookmarkStart w:id="609" w:name="_Toc127151541"/>
      <w:r/>
      <w:bookmarkStart w:id="610" w:name="_Toc164351635"/>
      <w:r/>
      <w:bookmarkStart w:id="611" w:name="_Toc151193783"/>
      <w:r/>
      <w:bookmarkStart w:id="612" w:name="_Toc151193711"/>
      <w:r/>
      <w:bookmarkStart w:id="613" w:name="_Toc164229382"/>
      <w:r/>
      <w:bookmarkStart w:id="614" w:name="_Toc149720834"/>
      <w:r/>
      <w:bookmarkStart w:id="615" w:name="_Toc142311043"/>
      <w:r/>
      <w:bookmarkStart w:id="616" w:name="_Toc164608810"/>
      <w:r/>
      <w:bookmarkStart w:id="617" w:name="_Toc151193855"/>
      <w:r/>
      <w:bookmarkStart w:id="618" w:name="_Toc151193929"/>
      <w:r/>
      <w:bookmarkStart w:id="619" w:name="_Toc226965731"/>
      <w:r/>
      <w:bookmarkStart w:id="620" w:name="_Toc195842906"/>
      <w:r/>
      <w:bookmarkStart w:id="621" w:name="_Toc353873941"/>
      <w:r/>
      <w:bookmarkStart w:id="622" w:name="_Toc353825551"/>
      <w:r/>
      <w:bookmarkStart w:id="623" w:name="_Toc353873665"/>
      <w:r/>
      <w:bookmarkStart w:id="624" w:name="_Toc142311057"/>
      <w:r/>
      <w:bookmarkStart w:id="625" w:name="_Toc226337251"/>
      <w:r/>
      <w:bookmarkStart w:id="626" w:name="_Toc226965828"/>
      <w:r/>
      <w:bookmarkStart w:id="627" w:name="_Toc265228393"/>
      <w:r/>
      <w:bookmarkStart w:id="628" w:name="_Toc305158823"/>
      <w:r/>
      <w:bookmarkStart w:id="629" w:name="_Toc353825545"/>
      <w:r/>
      <w:bookmarkStart w:id="630" w:name="_Toc353873935"/>
      <w:r/>
      <w:bookmarkStart w:id="631" w:name="_Toc305158897"/>
      <w:r/>
      <w:bookmarkStart w:id="632" w:name="_Toc264969245"/>
      <w:r/>
      <w:bookmarkStart w:id="633" w:name="_Toc127151555"/>
      <w:r/>
      <w:bookmarkStart w:id="634" w:name="_Toc195842920"/>
      <w:r/>
      <w:bookmarkStart w:id="635" w:name="_Toc150774760"/>
      <w:r/>
      <w:bookmarkStart w:id="636" w:name="_Toc150480793"/>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809"/>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809"/>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809"/>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6" w:type="dxa"/>
            <w:vAlign w:val="center"/>
            <w:textDirection w:val="lrTb"/>
            <w:noWrap w:val="false"/>
          </w:tcPr>
          <w:p>
            <w:pPr>
              <w:pStyle w:val="809"/>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3" w:type="dxa"/>
            <w:vAlign w:val="center"/>
            <w:textDirection w:val="lrTb"/>
            <w:noWrap w:val="false"/>
          </w:tcPr>
          <w:p>
            <w:pPr>
              <w:pStyle w:val="809"/>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809"/>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636" w:type="dxa"/>
            <w:vAlign w:val="center"/>
            <w:textDirection w:val="lrTb"/>
            <w:noWrap w:val="false"/>
          </w:tcPr>
          <w:p>
            <w:pPr>
              <w:pStyle w:val="809"/>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809"/>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809"/>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809"/>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636" w:type="dxa"/>
            <w:vAlign w:val="center"/>
            <w:textDirection w:val="lrTb"/>
            <w:noWrap w:val="false"/>
          </w:tcPr>
          <w:p>
            <w:pPr>
              <w:pStyle w:val="809"/>
              <w:tabs>
                <w:tab w:val="left" w:pos="1080" w:leader="none"/>
              </w:tabs>
              <w:rPr>
                <w:b/>
                <w:color w:val="000000"/>
                <w:sz w:val="24"/>
                <w:highlight w:val="none"/>
              </w:rPr>
            </w:pPr>
            <w:r>
              <w:rPr>
                <w:b/>
                <w:color w:val="000000"/>
                <w:sz w:val="24"/>
                <w:highlight w:val="none"/>
              </w:rPr>
            </w:r>
            <w:r/>
          </w:p>
          <w:p>
            <w:pPr>
              <w:pStyle w:val="809"/>
              <w:tabs>
                <w:tab w:val="left" w:pos="1080" w:leader="none"/>
              </w:tabs>
              <w:rPr>
                <w:bCs/>
                <w:color w:val="000000"/>
                <w:sz w:val="24"/>
                <w:highlight w:val="none"/>
              </w:rPr>
            </w:pPr>
            <w:r>
              <w:rPr>
                <w:rFonts w:hint="eastAsia"/>
                <w:bCs/>
                <w:color w:val="000000"/>
                <w:sz w:val="24"/>
                <w:highlight w:val="none"/>
              </w:rPr>
              <w:t xml:space="preserve">1、供应商单独参与磋商的，应提供中小企业声明函；如为监狱企业或残疾人福利性单位，不必提供中小企业声明函，但须按注1或注2要求提供证明材料。</w:t>
            </w:r>
            <w:r>
              <w:rPr>
                <w:bCs/>
                <w:color w:val="000000"/>
                <w:sz w:val="24"/>
                <w:highlight w:val="none"/>
              </w:rPr>
            </w:r>
            <w:r/>
          </w:p>
          <w:p>
            <w:pPr>
              <w:pStyle w:val="809"/>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highlight w:val="none"/>
              </w:rPr>
            </w:r>
            <w:r/>
          </w:p>
          <w:p>
            <w:pPr>
              <w:pStyle w:val="809"/>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809"/>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rPr>
                <w:b/>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rFonts w:hint="eastAsia" w:eastAsia="宋体"/>
                <w:color w:val="000000"/>
                <w:sz w:val="24"/>
                <w:highlight w:val="none"/>
                <w:lang w:eastAsia="zh-CN"/>
              </w:rPr>
            </w:pPr>
            <w:r>
              <w:rPr>
                <w:color w:val="000000"/>
                <w:sz w:val="24"/>
                <w:highlight w:val="none"/>
              </w:rPr>
              <w:t xml:space="preserve">2-</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809"/>
              <w:jc w:val="center"/>
              <w:tabs>
                <w:tab w:val="left" w:pos="1080" w:leader="none"/>
              </w:tabs>
              <w:rPr>
                <w:rFonts w:hint="eastAsia" w:eastAsia="宋体"/>
                <w:color w:val="000000"/>
                <w:sz w:val="24"/>
                <w:highlight w:val="none"/>
                <w:lang w:val="en-US" w:eastAsia="zh-CN"/>
              </w:rPr>
            </w:pPr>
            <w:r>
              <w:rPr>
                <w:color w:val="000000"/>
                <w:sz w:val="24"/>
                <w:highlight w:val="none"/>
              </w:rPr>
              <w:t xml:space="preserve">3-</w:t>
            </w:r>
            <w:r>
              <w:rPr>
                <w:rFonts w:hint="eastAsia"/>
                <w:color w:val="000000"/>
                <w:sz w:val="24"/>
                <w:highlight w:val="none"/>
                <w:lang w:val="en-US" w:eastAsia="zh-CN"/>
              </w:rPr>
              <w:t xml:space="preserve">1</w:t>
            </w:r>
            <w:r>
              <w:rPr>
                <w:rFonts w:hint="eastAsia" w:eastAsia="宋体"/>
                <w:color w:val="000000"/>
                <w:sz w:val="24"/>
                <w:highlight w:val="none"/>
                <w:lang w:val="en-US" w:eastAsia="zh-CN"/>
              </w:rPr>
            </w:r>
            <w:r/>
          </w:p>
        </w:tc>
        <w:tc>
          <w:tcPr>
            <w:tcW w:w="1014"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如有，见</w:t>
            </w:r>
            <w:r>
              <w:rPr>
                <w:color w:val="000000"/>
                <w:sz w:val="24"/>
                <w:highlight w:val="none"/>
              </w:rPr>
              <w:t xml:space="preserve">第一章《采购邀请》</w:t>
            </w:r>
            <w:r>
              <w:rPr>
                <w:color w:val="000000"/>
                <w:sz w:val="24"/>
                <w:highlight w:val="none"/>
              </w:rPr>
            </w:r>
            <w:r/>
          </w:p>
        </w:tc>
        <w:tc>
          <w:tcPr>
            <w:tcW w:w="973" w:type="dxa"/>
            <w:vAlign w:val="center"/>
            <w:textDirection w:val="lrTb"/>
            <w:noWrap w:val="false"/>
          </w:tcPr>
          <w:p>
            <w:pPr>
              <w:pStyle w:val="809"/>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809"/>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80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0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0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09"/>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响应文件满足磋商文件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09"/>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09"/>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685"/>
        </w:trPr>
        <w:tc>
          <w:tcPr>
            <w:tcW w:w="402" w:type="dxa"/>
            <w:vAlign w:val="center"/>
            <w:textDirection w:val="lrTb"/>
            <w:noWrap w:val="false"/>
          </w:tcPr>
          <w:p>
            <w:pPr>
              <w:pStyle w:val="809"/>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9"/>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13</w:t>
            </w:r>
            <w:r>
              <w:rPr>
                <w:rFonts w:eastAsia="宋体"/>
                <w:color w:val="000000"/>
                <w:sz w:val="24"/>
                <w:highlight w:val="none"/>
                <w:lang w:val="en-US" w:eastAsia="zh-CN"/>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09"/>
              <w:jc w:val="center"/>
              <w:widowControl/>
              <w:rPr>
                <w:rFonts w:hint="eastAsia"/>
                <w:color w:val="000000"/>
                <w:sz w:val="24"/>
                <w:highlight w:val="none"/>
                <w:lang w:val="en-US" w:eastAsia="zh-CN"/>
              </w:rPr>
            </w:pPr>
            <w:r>
              <w:rPr>
                <w:rFonts w:hint="eastAsia"/>
                <w:color w:val="000000"/>
                <w:sz w:val="24"/>
                <w:highlight w:val="none"/>
                <w:lang w:val="en-US" w:eastAsia="zh-CN"/>
              </w:rPr>
              <w:t xml:space="preserve">15</w:t>
            </w:r>
            <w:r>
              <w:rPr>
                <w:rFonts w:hint="eastAsia"/>
                <w:color w:val="000000"/>
                <w:sz w:val="24"/>
                <w:highlight w:val="none"/>
                <w:lang w:val="en-US" w:eastAsia="zh-CN"/>
              </w:rPr>
            </w:r>
            <w:r/>
          </w:p>
        </w:tc>
        <w:tc>
          <w:tcPr>
            <w:tcW w:w="975" w:type="dxa"/>
            <w:vAlign w:val="center"/>
            <w:textDirection w:val="lrTb"/>
            <w:noWrap w:val="false"/>
          </w:tcPr>
          <w:p>
            <w:pPr>
              <w:pStyle w:val="809"/>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09"/>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r>
    </w:tbl>
    <w:p>
      <w:pPr>
        <w:pStyle w:val="809"/>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color w:val="000000"/>
          <w:sz w:val="24"/>
          <w:highlight w:val="none"/>
        </w:rPr>
        <w:t xml:space="preserve">常州市政府采购业务管理平台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809"/>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color w:val="000000"/>
          <w:sz w:val="24"/>
          <w:highlight w:val="none"/>
        </w:rPr>
        <w:t xml:space="preserve">常州市政府采购业务管理平台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b/>
          <w:bCs w:val="0"/>
          <w:color w:val="000000"/>
          <w:sz w:val="24"/>
          <w:highlight w:val="none"/>
          <w:u w:val="single"/>
        </w:rPr>
      </w:pPr>
      <w:r>
        <w:rPr>
          <w:b/>
          <w:bCs w:val="0"/>
          <w:color w:val="000000"/>
          <w:sz w:val="24"/>
          <w:highlight w:val="none"/>
          <w:u w:val="single"/>
        </w:rPr>
        <w:t xml:space="preserve">磋商结束后，磋商小组将要求所有实质性响应的供应商在规定时间内</w:t>
      </w:r>
      <w:r>
        <w:rPr>
          <w:rFonts w:hint="eastAsia"/>
          <w:b/>
          <w:bCs w:val="0"/>
          <w:color w:val="000000"/>
          <w:sz w:val="24"/>
          <w:highlight w:val="none"/>
          <w:u w:val="single"/>
        </w:rPr>
        <w:t xml:space="preserve">通过</w:t>
      </w:r>
      <w:r>
        <w:rPr>
          <w:b/>
          <w:bCs w:val="0"/>
          <w:color w:val="000000"/>
          <w:sz w:val="24"/>
          <w:highlight w:val="none"/>
          <w:u w:val="single"/>
        </w:rPr>
        <w:t xml:space="preserve">常州市政府采购业务管理平台</w:t>
      </w:r>
      <w:r>
        <w:rPr>
          <w:rFonts w:hint="eastAsia"/>
          <w:b/>
          <w:bCs w:val="0"/>
          <w:color w:val="000000"/>
          <w:sz w:val="24"/>
          <w:highlight w:val="none"/>
          <w:u w:val="single"/>
        </w:rPr>
        <w:t xml:space="preserve">系统</w:t>
      </w:r>
      <w:r>
        <w:rPr>
          <w:b/>
          <w:bCs w:val="0"/>
          <w:color w:val="000000"/>
          <w:sz w:val="24"/>
          <w:highlight w:val="none"/>
          <w:u w:val="single"/>
        </w:rPr>
        <w:t xml:space="preserve">提交最</w:t>
      </w:r>
      <w:r>
        <w:rPr>
          <w:rFonts w:hint="eastAsia"/>
          <w:b/>
          <w:bCs w:val="0"/>
          <w:color w:val="000000"/>
          <w:sz w:val="24"/>
          <w:highlight w:val="none"/>
          <w:u w:val="single"/>
        </w:rPr>
        <w:t xml:space="preserve">终</w:t>
      </w:r>
      <w:r>
        <w:rPr>
          <w:b/>
          <w:bCs w:val="0"/>
          <w:color w:val="000000"/>
          <w:sz w:val="24"/>
          <w:highlight w:val="none"/>
          <w:u w:val="single"/>
        </w:rPr>
        <w:t xml:space="preserve">报价</w:t>
      </w:r>
      <w:r>
        <w:rPr>
          <w:rFonts w:hint="eastAsia"/>
          <w:b/>
          <w:bCs w:val="0"/>
          <w:color w:val="000000"/>
          <w:sz w:val="24"/>
          <w:highlight w:val="none"/>
          <w:u w:val="single"/>
          <w:lang w:eastAsia="zh-CN"/>
        </w:rPr>
        <w:t xml:space="preserve">。本项目采用2次报价，响应文件的磋商报价作为首次报价，在磋商谈判结束后，磋商小组应当要求所有实质性响应的供应商在规定时间内提交最终报价，最终报价作为评分依据。最终报价不得高于首次报价。</w:t>
      </w:r>
      <w:r>
        <w:rPr>
          <w:b/>
          <w:bCs w:val="0"/>
          <w:color w:val="000000"/>
          <w:sz w:val="24"/>
          <w:highlight w:val="none"/>
          <w:u w:val="singl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809"/>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809"/>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□无，按下述3.2.2-3.2.5项规定修正。</w:t>
      </w:r>
      <w:r>
        <w:rPr>
          <w:color w:val="000000"/>
          <w:sz w:val="24"/>
          <w:highlight w:val="none"/>
        </w:rPr>
      </w:r>
      <w:r/>
    </w:p>
    <w:p>
      <w:pPr>
        <w:pStyle w:val="809"/>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09"/>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809"/>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sz w:val="24"/>
          <w:highlight w:val="none"/>
        </w:rPr>
      </w:r>
      <w:r/>
    </w:p>
    <w:p>
      <w:pPr>
        <w:pStyle w:val="809"/>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809"/>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809"/>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w:t>
      </w:r>
      <w:r>
        <w:rPr>
          <w:rFonts w:hint="eastAsia"/>
          <w:b/>
          <w:bCs w:val="0"/>
          <w:color w:val="000000"/>
          <w:sz w:val="24"/>
          <w:highlight w:val="none"/>
          <w:u w:val="single"/>
          <w:lang w:eastAsia="zh-CN"/>
        </w:rPr>
        <w:t xml:space="preserve">最终报价高于首次报价。</w:t>
      </w:r>
      <w:r>
        <w:rPr>
          <w:color w:val="000000"/>
          <w:sz w:val="24"/>
          <w:highlight w:val="none"/>
        </w:rPr>
        <w:t xml:space="preserve">。</w:t>
      </w:r>
      <w:r>
        <w:rPr>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bookmarkEnd w:id="621"/>
      <w:r/>
      <w:bookmarkEnd w:id="622"/>
      <w:r>
        <w:rPr>
          <w:color w:val="000000"/>
          <w:sz w:val="24"/>
          <w:highlight w:val="none"/>
        </w:rPr>
        <w:t xml:space="preserve">评审方法和评审标准</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w:t>
      </w:r>
      <w:r>
        <w:rPr>
          <w:rFonts w:hint="eastAsia"/>
          <w:color w:val="000000"/>
          <w:sz w:val="24"/>
          <w:highlight w:val="none"/>
          <w:lang w:val="en-US" w:eastAsia="zh-CN"/>
        </w:rPr>
        <w:t xml:space="preserve">/</w:t>
      </w:r>
      <w:r>
        <w:rPr>
          <w:color w:val="000000"/>
          <w:sz w:val="24"/>
          <w:highlight w:val="none"/>
        </w:rPr>
        <w:t xml:space="preserve">___。</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w:t>
      </w:r>
      <w:r>
        <w:rPr>
          <w:rFonts w:hint="eastAsia"/>
          <w:color w:val="000000"/>
          <w:sz w:val="24"/>
          <w:highlight w:val="none"/>
          <w:lang w:val="en-US" w:eastAsia="zh-CN"/>
        </w:rPr>
        <w:t xml:space="preserve">/</w:t>
      </w:r>
      <w:r>
        <w:rPr>
          <w:color w:val="000000"/>
          <w:sz w:val="24"/>
          <w:highlight w:val="none"/>
        </w:rPr>
        <w:t xml:space="preserve">__。</w:t>
      </w:r>
      <w:r>
        <w:rPr>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Toc164608815"/>
      <w:r/>
      <w:bookmarkStart w:id="639" w:name="_Toc150480784"/>
      <w:r/>
      <w:bookmarkStart w:id="640" w:name="_Toc226337242"/>
      <w:r/>
      <w:bookmarkStart w:id="641" w:name="_Toc520356170"/>
      <w:r/>
      <w:bookmarkStart w:id="642" w:name="_Toc151193644"/>
      <w:r/>
      <w:bookmarkStart w:id="643" w:name="_Toc226965819"/>
      <w:r/>
      <w:bookmarkStart w:id="644" w:name="_Toc151193788"/>
      <w:r/>
      <w:bookmarkStart w:id="645" w:name="_Toc164229387"/>
      <w:r/>
      <w:bookmarkStart w:id="646" w:name="_Toc150774751"/>
      <w:r/>
      <w:bookmarkStart w:id="647" w:name="_Toc150774646"/>
      <w:r/>
      <w:bookmarkStart w:id="648" w:name="_Toc127151546"/>
      <w:r/>
      <w:bookmarkStart w:id="649" w:name="_Toc195842911"/>
      <w:r/>
      <w:bookmarkStart w:id="650" w:name="_Toc151193716"/>
      <w:r/>
      <w:bookmarkStart w:id="651" w:name="_Toc151193860"/>
      <w:r/>
      <w:bookmarkStart w:id="652" w:name="_Toc149720839"/>
      <w:r/>
      <w:bookmarkStart w:id="653" w:name="_Toc127151747"/>
      <w:r/>
      <w:bookmarkStart w:id="654" w:name="_Toc142311048"/>
      <w:r/>
      <w:bookmarkStart w:id="655" w:name="_Toc264969236"/>
      <w:r/>
      <w:bookmarkStart w:id="656" w:name="_Toc226965736"/>
      <w:r/>
      <w:bookmarkStart w:id="657" w:name="_Toc150509297"/>
      <w:r/>
      <w:bookmarkStart w:id="658" w:name="_Toc164351640"/>
      <w:r/>
      <w:bookmarkStart w:id="659" w:name="_Toc151193934"/>
      <w:r/>
      <w:bookmarkStart w:id="660" w:name="_Toc127161460"/>
      <w:r/>
      <w:bookmarkStart w:id="661" w:name="_Ref467307010"/>
      <w:r/>
      <w:bookmarkStart w:id="662" w:name="_Toc305158814"/>
      <w:r/>
      <w:bookmarkStart w:id="663" w:name="_Toc164608660"/>
      <w:r/>
      <w:bookmarkStart w:id="664" w:name="_Toc151190173"/>
      <w:r/>
      <w:bookmarkStart w:id="665" w:name="_Toc226309790"/>
      <w:r/>
      <w:bookmarkStart w:id="666" w:name="_Toc265228384"/>
      <w:r/>
      <w:bookmarkStart w:id="667" w:name="_Toc164229241"/>
      <w:r/>
      <w:bookmarkStart w:id="668" w:name="_Toc305158888"/>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809"/>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809"/>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09"/>
        <w:numPr>
          <w:ilvl w:val="1"/>
          <w:numId w:val="11"/>
        </w:numPr>
        <w:ind w:left="1077" w:hanging="720"/>
        <w:jc w:val="left"/>
        <w:spacing w:line="360" w:lineRule="auto"/>
        <w:widowControl/>
        <w:tabs>
          <w:tab w:val="left" w:pos="1080" w:leader="none"/>
          <w:tab w:val="left" w:pos="1589" w:leader="none"/>
          <w:tab w:val="left" w:pos="1872" w:leader="none"/>
        </w:tabs>
        <w:rPr>
          <w:rFonts w:ascii="Times New Roman" w:hAnsi="Times New Roman" w:eastAsia="宋体"/>
          <w:color w:val="000000"/>
          <w:sz w:val="24"/>
          <w:szCs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rFonts w:ascii="Times New Roman" w:hAnsi="Times New Roman" w:eastAsia="宋体"/>
          <w:color w:val="000000"/>
          <w:sz w:val="24"/>
          <w:szCs w:val="24"/>
          <w:highlight w:val="none"/>
        </w:rPr>
      </w:r>
      <w:r/>
    </w:p>
    <w:p>
      <w:pPr>
        <w:pStyle w:val="809"/>
        <w:numPr>
          <w:ilvl w:val="0"/>
          <w:numId w:val="0"/>
        </w:numPr>
        <w:jc w:val="center"/>
        <w:spacing w:line="360" w:lineRule="auto"/>
        <w:widowControl/>
        <w:tabs>
          <w:tab w:val="left" w:pos="1080" w:leader="none"/>
          <w:tab w:val="left" w:pos="1872" w:leader="none"/>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br w:type="page" w:clear="all"/>
      </w: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536"/>
        <w:gridCol w:w="1882"/>
      </w:tblGrid>
      <w:tr>
        <w:trPr>
          <w:trHeight w:val="474"/>
        </w:trPr>
        <w:tc>
          <w:tcPr>
            <w:tcW w:w="835" w:type="dxa"/>
            <w:vAlign w:val="center"/>
            <w:textDirection w:val="lrTb"/>
            <w:noWrap w:val="false"/>
          </w:tcPr>
          <w:p>
            <w:pPr>
              <w:pStyle w:val="809"/>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62" w:type="dxa"/>
            <w:vAlign w:val="center"/>
            <w:textDirection w:val="lrTb"/>
            <w:noWrap w:val="false"/>
          </w:tcPr>
          <w:p>
            <w:pPr>
              <w:pStyle w:val="809"/>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913" w:type="dxa"/>
            <w:vAlign w:val="center"/>
            <w:textDirection w:val="lrTb"/>
            <w:noWrap w:val="false"/>
          </w:tcPr>
          <w:p>
            <w:pPr>
              <w:pStyle w:val="809"/>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4536" w:type="dxa"/>
            <w:vAlign w:val="center"/>
            <w:textDirection w:val="lrTb"/>
            <w:noWrap w:val="false"/>
          </w:tcPr>
          <w:p>
            <w:pPr>
              <w:pStyle w:val="809"/>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1882" w:type="dxa"/>
            <w:vAlign w:val="center"/>
            <w:textDirection w:val="lrTb"/>
            <w:noWrap w:val="false"/>
          </w:tcPr>
          <w:p>
            <w:pPr>
              <w:pStyle w:val="1055"/>
              <w:spacing w:before="0" w:after="0" w:line="240" w:lineRule="auto"/>
              <w:rPr>
                <w:rFonts w:eastAsia="宋体"/>
                <w:color w:val="000000"/>
                <w:szCs w:val="24"/>
                <w:highlight w:val="none"/>
              </w:rPr>
            </w:pPr>
            <w:r>
              <w:rPr>
                <w:rFonts w:eastAsia="宋体"/>
                <w:color w:val="000000"/>
                <w:szCs w:val="24"/>
                <w:highlight w:val="none"/>
              </w:rPr>
              <w:t xml:space="preserve">说明</w:t>
            </w:r>
            <w:r>
              <w:rPr>
                <w:rFonts w:eastAsia="宋体"/>
                <w:color w:val="000000"/>
                <w:szCs w:val="24"/>
                <w:highlight w:val="none"/>
              </w:rPr>
            </w:r>
            <w:r/>
          </w:p>
        </w:tc>
      </w:tr>
      <w:tr>
        <w:trPr>
          <w:trHeight w:val="631"/>
        </w:trPr>
        <w:tc>
          <w:tcPr>
            <w:tcW w:w="835" w:type="dxa"/>
            <w:vAlign w:val="center"/>
            <w:textDirection w:val="lrTb"/>
            <w:noWrap w:val="false"/>
          </w:tcPr>
          <w:p>
            <w:pPr>
              <w:pStyle w:val="809"/>
              <w:ind w:firstLine="28"/>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最低的投标报价为评标基准价，其价格分为满分。其他供应商的投标报价分统一按照下列公式计算：报价得分=(评标基准价/投标报价)×10（计算结果四舍五入保留两位小数）</w:t>
            </w:r>
            <w:r>
              <w:rPr>
                <w:rFonts w:ascii="宋体" w:hAnsi="宋体"/>
                <w:color w:val="000000"/>
                <w:sz w:val="24"/>
                <w:highlight w:val="none"/>
              </w:rPr>
            </w:r>
            <w:r/>
          </w:p>
        </w:tc>
        <w:tc>
          <w:tcPr>
            <w:tcW w:w="1882" w:type="dxa"/>
            <w:vAlign w:val="center"/>
            <w:textDirection w:val="lrTb"/>
            <w:noWrap w:val="false"/>
          </w:tcPr>
          <w:p>
            <w:pPr>
              <w:pStyle w:val="809"/>
              <w:spacing w:line="360" w:lineRule="auto"/>
              <w:rPr>
                <w:color w:val="000000"/>
                <w:sz w:val="24"/>
                <w:highlight w:val="none"/>
              </w:rPr>
            </w:pPr>
            <w:r>
              <w:rPr>
                <w:color w:val="000000"/>
                <w:sz w:val="24"/>
                <w:highlight w:val="none"/>
              </w:rPr>
            </w:r>
            <w:r/>
          </w:p>
        </w:tc>
      </w:tr>
      <w:tr>
        <w:trPr>
          <w:trHeight w:val="523"/>
        </w:trPr>
        <w:tc>
          <w:tcPr>
            <w:tcW w:w="835" w:type="dxa"/>
            <w:vAlign w:val="center"/>
            <w:textDirection w:val="lrTb"/>
            <w:noWrap w:val="false"/>
          </w:tcPr>
          <w:p>
            <w:pPr>
              <w:pStyle w:val="809"/>
              <w:ind w:firstLine="28"/>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r>
            <w:r/>
          </w:p>
        </w:tc>
        <w:tc>
          <w:tcPr>
            <w:tcW w:w="1462" w:type="dxa"/>
            <w:vAlign w:val="center"/>
            <w:textDirection w:val="lrTb"/>
            <w:noWrap w:val="false"/>
          </w:tcPr>
          <w:p>
            <w:pPr>
              <w:pStyle w:val="809"/>
              <w:ind w:firstLine="28"/>
              <w:spacing w:line="360" w:lineRule="auto"/>
              <w:rPr>
                <w:rFonts w:ascii="宋体" w:hAnsi="宋体"/>
                <w:b/>
                <w:bCs/>
                <w:color w:val="000000"/>
                <w:sz w:val="24"/>
                <w:highlight w:val="none"/>
              </w:rPr>
            </w:pPr>
            <w:r>
              <w:rPr>
                <w:rFonts w:hint="eastAsia" w:ascii="宋体" w:hAnsi="宋体"/>
                <w:b/>
                <w:bCs/>
                <w:color w:val="000000"/>
                <w:sz w:val="24"/>
                <w:highlight w:val="none"/>
              </w:rPr>
              <w:t xml:space="preserve">主观分</w:t>
            </w:r>
            <w:r>
              <w:rPr>
                <w:rFonts w:ascii="宋体" w:hAnsi="宋体"/>
                <w:b/>
                <w:bCs/>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62</w:t>
            </w:r>
            <w:r>
              <w:rPr>
                <w:rFonts w:ascii="宋体" w:hAnsi="宋体"/>
                <w:b/>
                <w:bCs/>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ascii="宋体" w:hAnsi="宋体"/>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ascii="宋体" w:hAnsi="宋体"/>
                <w:color w:val="000000"/>
                <w:sz w:val="24"/>
                <w:highlight w:val="none"/>
              </w:rPr>
            </w:r>
            <w:r/>
          </w:p>
        </w:tc>
        <w:tc>
          <w:tcPr>
            <w:tcW w:w="1462" w:type="dxa"/>
            <w:vAlign w:val="center"/>
            <w:textDirection w:val="lrTb"/>
            <w:noWrap w:val="false"/>
          </w:tcPr>
          <w:p>
            <w:pPr>
              <w:pStyle w:val="809"/>
              <w:jc w:val="center"/>
              <w:spacing w:line="360" w:lineRule="auto"/>
              <w:rPr>
                <w:rFonts w:ascii="宋体" w:hAnsi="宋体"/>
                <w:color w:val="000000"/>
                <w:sz w:val="24"/>
                <w:highlight w:val="none"/>
              </w:rPr>
            </w:pPr>
            <w:r>
              <w:rPr>
                <w:rFonts w:hint="eastAsia" w:ascii="宋体" w:hAnsi="宋体" w:cs="宋体"/>
                <w:b/>
                <w:color w:val="000000"/>
                <w:szCs w:val="21"/>
                <w:highlight w:val="none"/>
              </w:rPr>
              <w:t xml:space="preserve">技术方案</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根据供应商提供的技术</w:t>
            </w:r>
            <w:r>
              <w:rPr>
                <w:rFonts w:hint="eastAsia" w:ascii="宋体" w:hAnsi="宋体"/>
                <w:bCs/>
                <w:color w:val="000000"/>
                <w:szCs w:val="21"/>
                <w:highlight w:val="none"/>
              </w:rPr>
              <w:t xml:space="preserve">方案进行综合评审</w:t>
            </w:r>
            <w:r>
              <w:rPr>
                <w:rFonts w:hint="eastAsia" w:ascii="宋体" w:hAnsi="宋体"/>
                <w:bCs/>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方案非常全面合理、可操作性强、条理性非常清晰、完全满足项目需求，能科学合理的开展工作的，得1</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2</w:t>
            </w:r>
            <w:r>
              <w:rPr>
                <w:rFonts w:ascii="宋体" w:hAnsi="宋体" w:cs="宋体"/>
                <w:color w:val="000000"/>
                <w:sz w:val="21"/>
                <w:szCs w:val="21"/>
                <w:highlight w:val="none"/>
                <w:lang w:val="en-US" w:eastAsia="zh-CN" w:bidi="ar-SA"/>
              </w:rPr>
              <w:t xml:space="preserve">、</w:t>
            </w:r>
            <w:r>
              <w:rPr>
                <w:rFonts w:hint="eastAsia" w:ascii="宋体" w:hAnsi="宋体" w:cs="宋体"/>
                <w:color w:val="000000"/>
                <w:szCs w:val="21"/>
                <w:highlight w:val="none"/>
              </w:rPr>
              <w:t xml:space="preserve">方案全面合理、可操作性强、条理性清晰、符合相关标准和规范、满足项目需求，能科学合理的开展工作的，得12分；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3</w:t>
            </w:r>
            <w:r>
              <w:rPr>
                <w:rFonts w:ascii="宋体" w:hAnsi="宋体" w:cs="宋体"/>
                <w:color w:val="000000"/>
                <w:sz w:val="21"/>
                <w:szCs w:val="21"/>
                <w:highlight w:val="none"/>
                <w:lang w:val="en-US" w:eastAsia="zh-CN" w:bidi="ar-SA"/>
              </w:rPr>
              <w:t xml:space="preserve">、</w:t>
            </w:r>
            <w:r>
              <w:rPr>
                <w:rFonts w:hint="eastAsia" w:ascii="宋体" w:hAnsi="宋体" w:cs="宋体"/>
                <w:color w:val="000000"/>
                <w:szCs w:val="21"/>
                <w:highlight w:val="none"/>
              </w:rPr>
              <w:t xml:space="preserve">方案齐全，具有实际可操作性、符合相关标准和规范，基本满足项目需求的，得9分；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4</w:t>
            </w:r>
            <w:r>
              <w:rPr>
                <w:rFonts w:ascii="宋体" w:hAnsi="宋体" w:cs="宋体"/>
                <w:color w:val="000000"/>
                <w:sz w:val="21"/>
                <w:szCs w:val="21"/>
                <w:highlight w:val="none"/>
                <w:lang w:val="en-US" w:eastAsia="zh-CN" w:bidi="ar-SA"/>
              </w:rPr>
              <w:t xml:space="preserve">、</w:t>
            </w:r>
            <w:r>
              <w:rPr>
                <w:rFonts w:hint="eastAsia" w:ascii="宋体" w:hAnsi="宋体" w:cs="宋体"/>
                <w:color w:val="000000"/>
                <w:szCs w:val="21"/>
                <w:highlight w:val="none"/>
              </w:rPr>
              <w:t xml:space="preserve">方案合理、基本符合相关标准和规范，但在思路和可行性方面稍有欠缺的得6分；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5</w:t>
            </w:r>
            <w:r>
              <w:rPr>
                <w:rFonts w:ascii="宋体" w:hAnsi="宋体" w:cs="宋体"/>
                <w:color w:val="000000"/>
                <w:sz w:val="21"/>
                <w:szCs w:val="21"/>
                <w:highlight w:val="none"/>
                <w:lang w:val="en-US" w:eastAsia="zh-CN" w:bidi="ar-SA"/>
              </w:rPr>
              <w:t xml:space="preserve">、</w:t>
            </w:r>
            <w:r>
              <w:rPr>
                <w:rFonts w:hint="eastAsia" w:ascii="宋体" w:hAnsi="宋体" w:cs="宋体"/>
                <w:color w:val="000000"/>
                <w:szCs w:val="21"/>
                <w:highlight w:val="none"/>
              </w:rPr>
              <w:t xml:space="preserve">方案内容简单、部分符合相关标准和规范不太能满足项目的大部分需求的，得3分；</w:t>
            </w:r>
            <w:r>
              <w:rPr>
                <w:rFonts w:ascii="宋体" w:hAnsi="宋体" w:cs="宋体"/>
                <w:color w:val="000000"/>
                <w:szCs w:val="21"/>
                <w:highlight w:val="none"/>
              </w:rPr>
            </w:r>
            <w:r/>
          </w:p>
          <w:p>
            <w:pPr>
              <w:pStyle w:val="809"/>
              <w:rPr>
                <w:rFonts w:ascii="宋体" w:hAnsi="宋体"/>
                <w:b/>
                <w:bCs/>
                <w:color w:val="000000"/>
                <w:sz w:val="24"/>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、未提供方案的不得分。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rHeight w:val="449"/>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b/>
                <w:bCs/>
                <w:color w:val="000000"/>
                <w:szCs w:val="21"/>
                <w:highlight w:val="none"/>
              </w:rPr>
              <w:t xml:space="preserve">项目重点、难点分析</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jc w:val="left"/>
              <w:spacing w:line="300" w:lineRule="exact"/>
              <w:rPr>
                <w:rFonts w:ascii="宋体" w:hAnsi="宋体"/>
                <w:bCs/>
                <w:color w:val="000000"/>
                <w:szCs w:val="21"/>
                <w:highlight w:val="none"/>
              </w:rPr>
            </w:pPr>
            <w:r>
              <w:rPr>
                <w:rFonts w:hint="eastAsia" w:ascii="宋体" w:hAnsi="宋体"/>
                <w:bCs/>
                <w:color w:val="000000"/>
                <w:szCs w:val="21"/>
                <w:highlight w:val="none"/>
              </w:rPr>
              <w:t xml:space="preserve">根据供应商拟制的项目重点、难点分析进行综合评审：</w:t>
            </w:r>
            <w:r>
              <w:rPr>
                <w:rFonts w:ascii="宋体" w:hAnsi="宋体"/>
                <w:bCs/>
                <w:color w:val="000000"/>
                <w:szCs w:val="21"/>
                <w:highlight w:val="none"/>
              </w:rPr>
            </w:r>
            <w:r/>
          </w:p>
          <w:p>
            <w:pPr>
              <w:pStyle w:val="809"/>
              <w:numPr>
                <w:ilvl w:val="0"/>
                <w:numId w:val="0"/>
              </w:numPr>
              <w:spacing w:line="400" w:lineRule="exact"/>
              <w:rPr>
                <w:rFonts w:ascii="宋体" w:hAnsi="宋体"/>
                <w:color w:val="000000"/>
                <w:highlight w:val="none"/>
              </w:rPr>
            </w:pPr>
            <w:r>
              <w:rPr>
                <w:rFonts w:ascii="宋体" w:hAnsi="宋体"/>
                <w:color w:val="000000"/>
                <w:sz w:val="21"/>
                <w:szCs w:val="24"/>
                <w:highlight w:val="none"/>
                <w:lang w:val="en-US" w:eastAsia="zh-CN" w:bidi="ar-SA"/>
              </w:rPr>
              <w:t xml:space="preserve">1、</w:t>
            </w:r>
            <w:r>
              <w:rPr>
                <w:rFonts w:hint="eastAsia" w:ascii="宋体" w:hAnsi="宋体"/>
                <w:bCs/>
                <w:color w:val="000000"/>
                <w:szCs w:val="21"/>
                <w:highlight w:val="none"/>
              </w:rPr>
              <w:t xml:space="preserve">项目重点、难点分析</w:t>
            </w:r>
            <w:r>
              <w:rPr>
                <w:rFonts w:hint="eastAsia" w:ascii="宋体" w:hAnsi="宋体"/>
                <w:color w:val="000000"/>
                <w:highlight w:val="none"/>
              </w:rPr>
              <w:t xml:space="preserve">全面、科学合理、针对性强</w:t>
            </w:r>
            <w:r>
              <w:rPr>
                <w:rFonts w:hint="eastAsia" w:ascii="宋体" w:hAnsi="宋体" w:cs="宋体"/>
                <w:color w:val="000000"/>
                <w:szCs w:val="21"/>
                <w:highlight w:val="none"/>
              </w:rPr>
              <w:t xml:space="preserve">，</w:t>
            </w:r>
            <w:r>
              <w:rPr>
                <w:rFonts w:hint="eastAsia" w:ascii="宋体" w:hAnsi="宋体"/>
                <w:color w:val="000000"/>
                <w:highlight w:val="none"/>
              </w:rPr>
              <w:t xml:space="preserve">得10分；</w:t>
            </w:r>
            <w:r>
              <w:rPr>
                <w:rFonts w:ascii="宋体" w:hAnsi="宋体"/>
                <w:color w:val="000000"/>
                <w:highlight w:val="none"/>
              </w:rPr>
            </w:r>
            <w:r/>
          </w:p>
          <w:p>
            <w:pPr>
              <w:pStyle w:val="809"/>
              <w:numPr>
                <w:ilvl w:val="0"/>
                <w:numId w:val="0"/>
              </w:numPr>
              <w:spacing w:line="400" w:lineRule="exact"/>
              <w:rPr>
                <w:rFonts w:ascii="宋体" w:hAnsi="宋体"/>
                <w:color w:val="000000"/>
                <w:highlight w:val="none"/>
              </w:rPr>
            </w:pPr>
            <w:r>
              <w:rPr>
                <w:rFonts w:ascii="宋体" w:hAnsi="宋体"/>
                <w:color w:val="000000"/>
                <w:sz w:val="21"/>
                <w:szCs w:val="24"/>
                <w:highlight w:val="none"/>
                <w:lang w:val="en-US" w:eastAsia="zh-CN" w:bidi="ar-SA"/>
              </w:rPr>
              <w:t xml:space="preserve">2、</w:t>
            </w:r>
            <w:r>
              <w:rPr>
                <w:rFonts w:hint="eastAsia" w:ascii="宋体" w:hAnsi="宋体"/>
                <w:bCs/>
                <w:color w:val="000000"/>
                <w:szCs w:val="21"/>
                <w:highlight w:val="none"/>
              </w:rPr>
              <w:t xml:space="preserve">项目重点、难点分析较</w:t>
            </w:r>
            <w:r>
              <w:rPr>
                <w:rFonts w:hint="eastAsia" w:ascii="宋体" w:hAnsi="宋体"/>
                <w:color w:val="000000"/>
                <w:highlight w:val="none"/>
              </w:rPr>
              <w:t xml:space="preserve">全面、较科学合理、针对性较强</w:t>
            </w:r>
            <w:r>
              <w:rPr>
                <w:rFonts w:hint="eastAsia" w:ascii="宋体" w:hAnsi="宋体" w:cs="宋体"/>
                <w:color w:val="000000"/>
                <w:szCs w:val="21"/>
                <w:highlight w:val="none"/>
              </w:rPr>
              <w:t xml:space="preserve">，</w:t>
            </w:r>
            <w:r>
              <w:rPr>
                <w:rFonts w:hint="eastAsia" w:ascii="宋体" w:hAnsi="宋体"/>
                <w:color w:val="000000"/>
                <w:highlight w:val="none"/>
              </w:rPr>
              <w:t xml:space="preserve">得7分；</w:t>
            </w:r>
            <w:r>
              <w:rPr>
                <w:rFonts w:ascii="宋体" w:hAnsi="宋体"/>
                <w:color w:val="000000"/>
                <w:highlight w:val="none"/>
              </w:rPr>
            </w:r>
            <w:r/>
          </w:p>
          <w:p>
            <w:pPr>
              <w:pStyle w:val="809"/>
              <w:numPr>
                <w:ilvl w:val="0"/>
                <w:numId w:val="0"/>
              </w:numPr>
              <w:spacing w:line="400" w:lineRule="exact"/>
              <w:rPr>
                <w:rFonts w:ascii="宋体" w:hAnsi="宋体"/>
                <w:color w:val="000000"/>
                <w:highlight w:val="none"/>
              </w:rPr>
            </w:pPr>
            <w:r>
              <w:rPr>
                <w:rFonts w:ascii="宋体" w:hAnsi="宋体"/>
                <w:color w:val="000000"/>
                <w:sz w:val="21"/>
                <w:szCs w:val="24"/>
                <w:highlight w:val="none"/>
                <w:lang w:val="en-US" w:eastAsia="zh-CN" w:bidi="ar-SA"/>
              </w:rPr>
              <w:t xml:space="preserve">3、</w:t>
            </w:r>
            <w:r>
              <w:rPr>
                <w:rFonts w:hint="eastAsia" w:ascii="宋体" w:hAnsi="宋体"/>
                <w:bCs/>
                <w:color w:val="000000"/>
                <w:szCs w:val="21"/>
                <w:highlight w:val="none"/>
              </w:rPr>
              <w:t xml:space="preserve">项目重点、难点分析</w:t>
            </w:r>
            <w:r>
              <w:rPr>
                <w:rFonts w:hint="eastAsia" w:ascii="宋体" w:hAnsi="宋体"/>
                <w:color w:val="000000"/>
                <w:highlight w:val="none"/>
              </w:rPr>
              <w:t xml:space="preserve">一般、科学合理性一般、针对性一般</w:t>
            </w:r>
            <w:r>
              <w:rPr>
                <w:rFonts w:hint="eastAsia" w:ascii="宋体" w:hAnsi="宋体" w:cs="宋体"/>
                <w:color w:val="000000"/>
                <w:szCs w:val="21"/>
                <w:highlight w:val="none"/>
              </w:rPr>
              <w:t xml:space="preserve">，</w:t>
            </w:r>
            <w:r>
              <w:rPr>
                <w:rFonts w:hint="eastAsia" w:ascii="宋体" w:hAnsi="宋体"/>
                <w:color w:val="000000"/>
                <w:highlight w:val="none"/>
              </w:rPr>
              <w:t xml:space="preserve">得4分；</w:t>
            </w:r>
            <w:r>
              <w:rPr>
                <w:rFonts w:ascii="宋体" w:hAnsi="宋体"/>
                <w:color w:val="000000"/>
                <w:highlight w:val="none"/>
              </w:rPr>
            </w:r>
            <w:r/>
          </w:p>
          <w:p>
            <w:pPr>
              <w:pStyle w:val="809"/>
              <w:numPr>
                <w:ilvl w:val="0"/>
                <w:numId w:val="0"/>
              </w:numPr>
              <w:spacing w:line="400" w:lineRule="exact"/>
              <w:rPr>
                <w:rFonts w:ascii="宋体" w:hAnsi="宋体"/>
                <w:color w:val="000000"/>
                <w:highlight w:val="none"/>
              </w:rPr>
            </w:pPr>
            <w:r>
              <w:rPr>
                <w:rFonts w:ascii="宋体" w:hAnsi="宋体"/>
                <w:color w:val="000000"/>
                <w:sz w:val="21"/>
                <w:szCs w:val="24"/>
                <w:highlight w:val="none"/>
                <w:lang w:val="en-US" w:eastAsia="zh-CN" w:bidi="ar-SA"/>
              </w:rPr>
              <w:t xml:space="preserve">4、</w:t>
            </w:r>
            <w:r>
              <w:rPr>
                <w:rFonts w:hint="eastAsia" w:ascii="宋体" w:hAnsi="宋体"/>
                <w:bCs/>
                <w:color w:val="000000"/>
                <w:szCs w:val="21"/>
                <w:highlight w:val="none"/>
              </w:rPr>
              <w:t xml:space="preserve">项目重点、难点分析</w:t>
            </w:r>
            <w:r>
              <w:rPr>
                <w:rFonts w:hint="eastAsia" w:ascii="宋体" w:hAnsi="宋体"/>
                <w:color w:val="000000"/>
                <w:highlight w:val="none"/>
              </w:rPr>
              <w:t xml:space="preserve">较差、科学合理性较差、针对性较差</w:t>
            </w:r>
            <w:r>
              <w:rPr>
                <w:rFonts w:hint="eastAsia" w:ascii="宋体" w:hAnsi="宋体" w:cs="宋体"/>
                <w:color w:val="000000"/>
                <w:szCs w:val="21"/>
                <w:highlight w:val="none"/>
              </w:rPr>
              <w:t xml:space="preserve">，</w:t>
            </w:r>
            <w:r>
              <w:rPr>
                <w:rFonts w:hint="eastAsia" w:ascii="宋体" w:hAnsi="宋体"/>
                <w:color w:val="000000"/>
                <w:highlight w:val="none"/>
              </w:rPr>
              <w:t xml:space="preserve">得2分；</w:t>
            </w:r>
            <w:r>
              <w:rPr>
                <w:rFonts w:ascii="宋体" w:hAnsi="宋体"/>
                <w:color w:val="000000"/>
                <w:highlight w:val="none"/>
              </w:rPr>
            </w:r>
            <w:r/>
          </w:p>
          <w:p>
            <w:pPr>
              <w:pStyle w:val="809"/>
              <w:numPr>
                <w:ilvl w:val="0"/>
                <w:numId w:val="0"/>
              </w:numPr>
              <w:spacing w:line="400" w:lineRule="exact"/>
              <w:rPr>
                <w:rFonts w:ascii="宋体" w:hAnsi="宋体"/>
                <w:b/>
                <w:bCs/>
                <w:color w:val="000000"/>
                <w:sz w:val="24"/>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不提供不得分。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462" w:type="dxa"/>
            <w:vAlign w:val="center"/>
            <w:textDirection w:val="lrTb"/>
            <w:noWrap w:val="false"/>
          </w:tcPr>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质量保证措施</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jc w:val="left"/>
              <w:spacing w:line="300" w:lineRule="exact"/>
              <w:rPr>
                <w:rFonts w:ascii="宋体" w:hAnsi="宋体" w:cs="宋体"/>
                <w:color w:val="000000"/>
                <w:szCs w:val="21"/>
                <w:highlight w:val="none"/>
              </w:rPr>
            </w:pPr>
            <w:r>
              <w:rPr>
                <w:rFonts w:hint="eastAsia" w:ascii="宋体" w:hAnsi="宋体"/>
                <w:bCs/>
                <w:color w:val="000000"/>
                <w:szCs w:val="21"/>
                <w:highlight w:val="none"/>
              </w:rPr>
              <w:t xml:space="preserve">根据供应商拟制的质量管理及保障方案进行综合评审：</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项目质量管理方案科学、合理、规范、可操作性好，保障措施严谨，完全满足项目需求的得</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项目质量管理方案科学、合理、规范、可操作性较好，保障措施较严谨，满足项目需求的得7分；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项目质量管理方案科学、合理、规范、可操作性一般，保障措施较严谨，满足项目需求的得4分；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4、</w:t>
            </w:r>
            <w:r>
              <w:rPr>
                <w:rFonts w:hint="eastAsia" w:ascii="宋体" w:hAnsi="宋体" w:cs="宋体"/>
                <w:color w:val="000000"/>
                <w:szCs w:val="21"/>
                <w:highlight w:val="none"/>
              </w:rPr>
              <w:t xml:space="preserve">项目质量管理方案科学、合理、规范、可操作性较差，保障措施较严谨，满足项目需求的得2分；</w:t>
            </w:r>
            <w:r>
              <w:rPr>
                <w:rFonts w:ascii="宋体" w:hAnsi="宋体" w:cs="宋体"/>
                <w:color w:val="000000"/>
                <w:szCs w:val="21"/>
                <w:highlight w:val="none"/>
              </w:rPr>
            </w:r>
            <w:r/>
          </w:p>
          <w:p>
            <w:pPr>
              <w:pStyle w:val="809"/>
              <w:numPr>
                <w:ilvl w:val="0"/>
                <w:numId w:val="0"/>
              </w:numPr>
              <w:spacing w:line="360" w:lineRule="auto"/>
              <w:rPr>
                <w:rFonts w:ascii="宋体" w:hAnsi="宋体"/>
                <w:b/>
                <w:bCs/>
                <w:color w:val="000000"/>
                <w:sz w:val="24"/>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不提供不得分。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ascii="宋体" w:hAnsi="宋体"/>
                <w:color w:val="000000"/>
                <w:sz w:val="24"/>
                <w:highlight w:val="none"/>
              </w:rPr>
            </w:r>
            <w:r/>
          </w:p>
        </w:tc>
        <w:tc>
          <w:tcPr>
            <w:tcW w:w="1462" w:type="dxa"/>
            <w:vAlign w:val="center"/>
            <w:textDirection w:val="lrTb"/>
            <w:noWrap w:val="false"/>
          </w:tcPr>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进度保证措施</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jc w:val="left"/>
              <w:spacing w:line="300" w:lineRule="exact"/>
              <w:rPr>
                <w:rFonts w:ascii="宋体" w:hAnsi="宋体" w:cs="宋体"/>
                <w:color w:val="000000"/>
                <w:szCs w:val="21"/>
                <w:highlight w:val="none"/>
              </w:rPr>
            </w:pPr>
            <w:r>
              <w:rPr>
                <w:rFonts w:hint="eastAsia" w:ascii="宋体" w:hAnsi="宋体"/>
                <w:bCs/>
                <w:color w:val="000000"/>
                <w:szCs w:val="21"/>
                <w:highlight w:val="none"/>
              </w:rPr>
              <w:t xml:space="preserve">根据供应商拟制的进度管理及保障方案进行综合评审：</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项目进度管理方案科学、合理、规范、可操作性好，保障措施严谨，完全满足项目需求的得</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项目进度管理方案科学、合理、规范、可操作性较好，保障措施较严谨，满足项目需求的得7分；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项目进度管理方案科学、合理、规范、可操作性一般，保障措施较严谨，满足项目需求的得4分；</w:t>
            </w:r>
            <w:r>
              <w:rPr>
                <w:rFonts w:ascii="宋体" w:hAnsi="宋体" w:cs="宋体"/>
                <w:color w:val="000000"/>
                <w:szCs w:val="21"/>
                <w:highlight w:val="none"/>
              </w:rPr>
            </w:r>
            <w:r/>
          </w:p>
          <w:p>
            <w:pPr>
              <w:pStyle w:val="809"/>
              <w:numPr>
                <w:ilvl w:val="0"/>
                <w:numId w:val="0"/>
              </w:numPr>
              <w:spacing w:line="360" w:lineRule="auto"/>
              <w:rPr>
                <w:rFonts w:ascii="宋体" w:hAnsi="宋体"/>
                <w:b/>
                <w:bCs/>
                <w:color w:val="000000"/>
                <w:sz w:val="24"/>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项目进度管理方案科学、合理、规范、可操作性较差，保障措施较严谨，满足项目需求的得2分；</w:t>
            </w:r>
            <w:r>
              <w:rPr>
                <w:rFonts w:ascii="宋体" w:hAnsi="宋体"/>
                <w:b/>
                <w:bCs/>
                <w:color w:val="000000"/>
                <w:sz w:val="24"/>
                <w:highlight w:val="none"/>
              </w:rPr>
            </w:r>
            <w:r/>
          </w:p>
          <w:p>
            <w:pPr>
              <w:pStyle w:val="809"/>
              <w:numPr>
                <w:ilvl w:val="0"/>
                <w:numId w:val="0"/>
              </w:numPr>
              <w:spacing w:line="360" w:lineRule="auto"/>
              <w:rPr>
                <w:rFonts w:ascii="宋体" w:hAnsi="宋体"/>
                <w:b/>
                <w:bCs/>
                <w:color w:val="000000"/>
                <w:sz w:val="24"/>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不提供不得分。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保密保障措施</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4536" w:type="dxa"/>
            <w:vAlign w:val="center"/>
            <w:textDirection w:val="lrTb"/>
            <w:noWrap w:val="false"/>
          </w:tcPr>
          <w:p>
            <w:pPr>
              <w:pStyle w:val="809"/>
              <w:jc w:val="left"/>
              <w:spacing w:line="300" w:lineRule="exact"/>
              <w:rPr>
                <w:rFonts w:ascii="宋体" w:hAnsi="宋体" w:cs="宋体"/>
                <w:color w:val="000000"/>
                <w:szCs w:val="21"/>
                <w:highlight w:val="none"/>
              </w:rPr>
            </w:pPr>
            <w:r>
              <w:rPr>
                <w:rFonts w:hint="eastAsia" w:ascii="宋体" w:hAnsi="宋体"/>
                <w:bCs/>
                <w:color w:val="000000"/>
                <w:szCs w:val="21"/>
                <w:highlight w:val="none"/>
              </w:rPr>
              <w:t xml:space="preserve">根据供应商拟制的保密保障措施进行综合评审：</w:t>
            </w:r>
            <w:r>
              <w:rPr>
                <w:rFonts w:ascii="宋体" w:hAnsi="宋体" w:cs="宋体"/>
                <w:color w:val="000000"/>
                <w:szCs w:val="21"/>
                <w:highlight w:val="none"/>
              </w:rPr>
            </w:r>
            <w:r/>
          </w:p>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1、保密控制措施科学全面、可操作性强、可行性强、完全符合项目需求的4分；</w:t>
            </w:r>
            <w:r>
              <w:rPr>
                <w:rFonts w:ascii="宋体" w:hAnsi="宋体" w:cs="宋体"/>
                <w:color w:val="000000"/>
                <w:szCs w:val="21"/>
                <w:highlight w:val="none"/>
              </w:rPr>
            </w:r>
            <w:r/>
          </w:p>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2、保密控制措施具体实际可操作性、能够满足项目需求的得3分；</w:t>
            </w:r>
            <w:r>
              <w:rPr>
                <w:rFonts w:ascii="宋体" w:hAnsi="宋体" w:cs="宋体"/>
                <w:color w:val="000000"/>
                <w:szCs w:val="21"/>
                <w:highlight w:val="none"/>
              </w:rPr>
            </w:r>
            <w:r/>
          </w:p>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3、保密控制措施内容一般、可操作性一般、基本满足项目需求的得2分；</w:t>
            </w:r>
            <w:r>
              <w:rPr>
                <w:rFonts w:ascii="宋体" w:hAnsi="宋体" w:cs="宋体"/>
                <w:color w:val="000000"/>
                <w:szCs w:val="21"/>
                <w:highlight w:val="none"/>
              </w:rPr>
            </w:r>
            <w:r/>
          </w:p>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4、保密控制措施内容简单、不具有可操作性、不太满足项目需求的得1分；</w:t>
            </w:r>
            <w:r>
              <w:rPr>
                <w:rFonts w:ascii="宋体" w:hAnsi="宋体" w:cs="宋体"/>
                <w:color w:val="000000"/>
                <w:szCs w:val="21"/>
                <w:highlight w:val="none"/>
              </w:rPr>
            </w:r>
            <w:r/>
          </w:p>
          <w:p>
            <w:pPr>
              <w:pStyle w:val="809"/>
              <w:spacing w:line="360" w:lineRule="auto"/>
              <w:rPr>
                <w:rFonts w:ascii="宋体" w:hAnsi="宋体"/>
                <w:b/>
                <w:bCs/>
                <w:color w:val="000000"/>
                <w:sz w:val="24"/>
                <w:highlight w:val="none"/>
              </w:rPr>
            </w:pPr>
            <w:r>
              <w:rPr>
                <w:rFonts w:hint="eastAsia" w:ascii="宋体" w:hAnsi="宋体" w:cs="宋体"/>
                <w:color w:val="000000"/>
                <w:szCs w:val="21"/>
                <w:highlight w:val="none"/>
              </w:rPr>
              <w:t xml:space="preserve">5、不提供不得分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.6</w:t>
            </w:r>
            <w:r>
              <w:rPr>
                <w:rFonts w:ascii="宋体" w:hAnsi="宋体"/>
                <w:color w:val="000000"/>
                <w:sz w:val="24"/>
                <w:highlight w:val="none"/>
              </w:rPr>
            </w:r>
            <w:r/>
          </w:p>
        </w:tc>
        <w:tc>
          <w:tcPr>
            <w:tcW w:w="1462" w:type="dxa"/>
            <w:vAlign w:val="center"/>
            <w:textDirection w:val="lrTb"/>
            <w:noWrap w:val="false"/>
          </w:tcPr>
          <w:p>
            <w:pPr>
              <w:pStyle w:val="809"/>
              <w:jc w:val="center"/>
              <w:spacing w:line="360" w:lineRule="auto"/>
              <w:rPr>
                <w:rFonts w:ascii="宋体" w:hAnsi="宋体"/>
                <w:color w:val="000000"/>
                <w:sz w:val="24"/>
                <w:highlight w:val="none"/>
              </w:rPr>
            </w:pPr>
            <w:r>
              <w:rPr>
                <w:rFonts w:hint="eastAsia" w:ascii="宋体" w:hAnsi="宋体"/>
                <w:color w:val="000000"/>
                <w:sz w:val="24"/>
                <w:highlight w:val="none"/>
              </w:rPr>
              <w:t xml:space="preserve">应急预案</w:t>
            </w:r>
            <w:r>
              <w:rPr>
                <w:rFonts w:ascii="宋体" w:hAnsi="宋体"/>
                <w:color w:val="000000"/>
                <w:sz w:val="24"/>
                <w:highlight w:val="none"/>
              </w:rPr>
            </w:r>
            <w:r/>
          </w:p>
          <w:p>
            <w:pPr>
              <w:pStyle w:val="809"/>
              <w:ind w:firstLine="28"/>
              <w:jc w:val="center"/>
              <w:spacing w:line="360" w:lineRule="auto"/>
              <w:rPr>
                <w:rFonts w:ascii="宋体" w:hAnsi="宋体"/>
                <w:color w:val="000000"/>
                <w:sz w:val="24"/>
                <w:highlight w:val="none"/>
              </w:rPr>
            </w:pP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t xml:space="preserve">过程中可能出现的突发情况（如恶劣天气影响采样进度、样品运输过程中受损、检测数据异常、设备故障、人员安全事故等），投标人需制定全面、具体且可操作的应急处理方案，包括风险识别、应急响应流程、责任分工、资源保障（如备用设备、应急人员、备选实验室等）及善后措施等。</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1、</w:t>
            </w:r>
            <w:r>
              <w:rPr>
                <w:rFonts w:ascii="宋体" w:hAnsi="宋体" w:cs="宋体"/>
                <w:color w:val="000000"/>
                <w:szCs w:val="21"/>
                <w:highlight w:val="none"/>
              </w:rPr>
              <w:t xml:space="preserve">应急预案覆盖所有可能的突发场景，响应流程清晰、责任到人，资源保障充足，措施科学有效，能最大程度降低对项目进度和质量的影响，得</w:t>
            </w:r>
            <w:r>
              <w:rPr>
                <w:rFonts w:hint="eastAsia" w:ascii="宋体" w:hAnsi="宋体" w:cs="宋体"/>
                <w:color w:val="000000"/>
                <w:szCs w:val="21"/>
                <w:highlight w:val="none"/>
              </w:rPr>
              <w:t xml:space="preserve">10</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2、</w:t>
            </w:r>
            <w:r>
              <w:rPr>
                <w:rFonts w:ascii="宋体" w:hAnsi="宋体" w:cs="宋体"/>
                <w:color w:val="000000"/>
                <w:szCs w:val="21"/>
                <w:highlight w:val="none"/>
              </w:rPr>
              <w:t xml:space="preserve">应急预案覆盖主要突发场景，响应流程合理，资源保障</w:t>
            </w:r>
            <w:r>
              <w:rPr>
                <w:rFonts w:hint="eastAsia" w:ascii="宋体" w:hAnsi="宋体" w:cs="宋体"/>
                <w:color w:val="000000"/>
                <w:szCs w:val="21"/>
                <w:highlight w:val="none"/>
              </w:rPr>
              <w:t xml:space="preserve">较好</w:t>
            </w:r>
            <w:r>
              <w:rPr>
                <w:rFonts w:ascii="宋体" w:hAnsi="宋体" w:cs="宋体"/>
                <w:color w:val="000000"/>
                <w:szCs w:val="21"/>
                <w:highlight w:val="none"/>
              </w:rPr>
              <w:t xml:space="preserve">，措施具有</w:t>
            </w:r>
            <w:r>
              <w:rPr>
                <w:rFonts w:hint="eastAsia" w:ascii="宋体" w:hAnsi="宋体" w:cs="宋体"/>
                <w:color w:val="000000"/>
                <w:szCs w:val="21"/>
                <w:highlight w:val="none"/>
              </w:rPr>
              <w:t xml:space="preserve">较强</w:t>
            </w:r>
            <w:r>
              <w:rPr>
                <w:rFonts w:ascii="宋体" w:hAnsi="宋体" w:cs="宋体"/>
                <w:color w:val="000000"/>
                <w:szCs w:val="21"/>
                <w:highlight w:val="none"/>
              </w:rPr>
              <w:t xml:space="preserve">可行性，得</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3、</w:t>
            </w:r>
            <w:r>
              <w:rPr>
                <w:rFonts w:ascii="宋体" w:hAnsi="宋体" w:cs="宋体"/>
                <w:color w:val="000000"/>
                <w:szCs w:val="21"/>
                <w:highlight w:val="none"/>
              </w:rPr>
              <w:t xml:space="preserve">应急预案覆盖常见突发场景，响应流程基本合理，有一定资源保障，措施具有可行性，得</w:t>
            </w:r>
            <w:r>
              <w:rPr>
                <w:rFonts w:hint="eastAsia" w:ascii="宋体" w:hAnsi="宋体" w:cs="宋体"/>
                <w:color w:val="000000"/>
                <w:szCs w:val="21"/>
                <w:highlight w:val="none"/>
              </w:rPr>
              <w:t xml:space="preserve">4</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cs="宋体"/>
                <w:color w:val="000000"/>
                <w:szCs w:val="21"/>
                <w:highlight w:val="none"/>
              </w:rPr>
            </w:pPr>
            <w:r>
              <w:rPr>
                <w:rFonts w:ascii="宋体" w:hAnsi="宋体" w:cs="宋体"/>
                <w:color w:val="000000"/>
                <w:sz w:val="21"/>
                <w:szCs w:val="21"/>
                <w:highlight w:val="none"/>
                <w:lang w:val="en-US" w:eastAsia="zh-CN" w:bidi="ar-SA"/>
              </w:rPr>
              <w:t xml:space="preserve">4、</w:t>
            </w:r>
            <w:r>
              <w:rPr>
                <w:rFonts w:ascii="宋体" w:hAnsi="宋体" w:cs="宋体"/>
                <w:color w:val="000000"/>
                <w:szCs w:val="21"/>
                <w:highlight w:val="none"/>
              </w:rPr>
              <w:t xml:space="preserve">应急预案涉及部分常见突发场景，响应流程不够明确，资源保障不足，措施针对性较弱，得 </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w:t>
            </w:r>
            <w:r>
              <w:rPr>
                <w:rFonts w:ascii="宋体" w:hAnsi="宋体" w:cs="宋体"/>
                <w:color w:val="000000"/>
                <w:szCs w:val="21"/>
                <w:highlight w:val="none"/>
              </w:rPr>
            </w:r>
            <w:r/>
          </w:p>
          <w:p>
            <w:pPr>
              <w:pStyle w:val="809"/>
              <w:numPr>
                <w:ilvl w:val="0"/>
                <w:numId w:val="0"/>
              </w:numPr>
              <w:spacing w:line="360" w:lineRule="auto"/>
              <w:rPr>
                <w:rFonts w:ascii="宋体" w:hAnsi="宋体"/>
                <w:b/>
                <w:bCs/>
                <w:color w:val="000000"/>
                <w:sz w:val="24"/>
                <w:highlight w:val="none"/>
              </w:rPr>
            </w:pPr>
            <w:r>
              <w:rPr>
                <w:rFonts w:ascii="宋体" w:hAnsi="宋体" w:cs="宋体"/>
                <w:color w:val="000000"/>
                <w:sz w:val="21"/>
                <w:szCs w:val="21"/>
                <w:highlight w:val="none"/>
                <w:lang w:val="en-US" w:eastAsia="zh-CN" w:bidi="ar-SA"/>
              </w:rPr>
              <w:t xml:space="preserve">5、</w:t>
            </w:r>
            <w:r>
              <w:rPr>
                <w:rFonts w:hint="eastAsia" w:ascii="宋体" w:hAnsi="宋体" w:cs="宋体"/>
                <w:color w:val="000000"/>
                <w:szCs w:val="21"/>
                <w:highlight w:val="none"/>
              </w:rPr>
              <w:t xml:space="preserve">不提供不得分。</w:t>
            </w:r>
            <w:r>
              <w:rPr>
                <w:rFonts w:ascii="宋体" w:hAnsi="宋体"/>
                <w:b/>
                <w:bCs/>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ascii="宋体" w:hAnsi="宋体"/>
                <w:color w:val="000000"/>
                <w:sz w:val="24"/>
                <w:highlight w:val="none"/>
              </w:rPr>
              <w:t xml:space="preserve">2.7</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b/>
                <w:color w:val="000000"/>
                <w:szCs w:val="21"/>
                <w:highlight w:val="none"/>
              </w:rPr>
              <w:t xml:space="preserve">合理化建议</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cs="宋体"/>
                <w:color w:val="000000"/>
                <w:szCs w:val="21"/>
                <w:highlight w:val="none"/>
              </w:rPr>
            </w:pPr>
            <w:r>
              <w:rPr>
                <w:rFonts w:hint="eastAsia" w:ascii="宋体" w:cs="宋体"/>
                <w:color w:val="000000"/>
                <w:szCs w:val="21"/>
                <w:highlight w:val="none"/>
              </w:rPr>
              <w:t xml:space="preserve">根据本项目的特点和要求，提出合理化建议：</w:t>
            </w:r>
            <w:r>
              <w:rPr>
                <w:rFonts w:ascii="宋体" w:cs="宋体"/>
                <w:color w:val="000000"/>
                <w:szCs w:val="21"/>
                <w:highlight w:val="none"/>
              </w:rPr>
            </w:r>
            <w:r/>
          </w:p>
          <w:p>
            <w:pPr>
              <w:pStyle w:val="809"/>
              <w:numPr>
                <w:ilvl w:val="0"/>
                <w:numId w:val="0"/>
              </w:numPr>
              <w:spacing w:line="360" w:lineRule="auto"/>
              <w:rPr>
                <w:rFonts w:ascii="宋体" w:cs="宋体"/>
                <w:color w:val="000000"/>
                <w:szCs w:val="21"/>
                <w:highlight w:val="none"/>
              </w:rPr>
            </w:pPr>
            <w:r>
              <w:rPr>
                <w:rFonts w:ascii="宋体" w:cs="宋体"/>
                <w:color w:val="000000"/>
                <w:sz w:val="21"/>
                <w:szCs w:val="21"/>
                <w:highlight w:val="none"/>
                <w:lang w:val="en-US" w:eastAsia="zh-CN" w:bidi="ar-SA"/>
              </w:rPr>
              <w:t xml:space="preserve">1、</w:t>
            </w:r>
            <w:r>
              <w:rPr>
                <w:rFonts w:hint="eastAsia" w:ascii="宋体" w:cs="宋体"/>
                <w:color w:val="000000"/>
                <w:szCs w:val="21"/>
                <w:highlight w:val="none"/>
              </w:rPr>
              <w:t xml:space="preserve">内容完整、合理、可执行性强的得3分；</w:t>
            </w:r>
            <w:r>
              <w:rPr>
                <w:rFonts w:ascii="宋体" w:cs="宋体"/>
                <w:color w:val="000000"/>
                <w:szCs w:val="21"/>
                <w:highlight w:val="none"/>
              </w:rPr>
            </w:r>
            <w:r/>
          </w:p>
          <w:p>
            <w:pPr>
              <w:pStyle w:val="809"/>
              <w:numPr>
                <w:ilvl w:val="0"/>
                <w:numId w:val="0"/>
              </w:numPr>
              <w:spacing w:line="360" w:lineRule="auto"/>
              <w:rPr>
                <w:rFonts w:ascii="宋体" w:hAnsi="宋体"/>
                <w:color w:val="000000"/>
                <w:highlight w:val="none"/>
              </w:rPr>
            </w:pPr>
            <w:r>
              <w:rPr>
                <w:rFonts w:ascii="宋体" w:hAnsi="宋体"/>
                <w:color w:val="000000"/>
                <w:sz w:val="21"/>
                <w:szCs w:val="24"/>
                <w:highlight w:val="none"/>
                <w:lang w:val="en-US" w:eastAsia="zh-CN" w:bidi="ar-SA"/>
              </w:rPr>
              <w:t xml:space="preserve">2、</w:t>
            </w:r>
            <w:r>
              <w:rPr>
                <w:rFonts w:hint="eastAsia" w:ascii="宋体" w:cs="宋体"/>
                <w:color w:val="000000"/>
                <w:szCs w:val="21"/>
                <w:highlight w:val="none"/>
              </w:rPr>
              <w:t xml:space="preserve">内容基本完整、合理、具有一定的可执行性的得2分；</w:t>
            </w:r>
            <w:r>
              <w:rPr>
                <w:rFonts w:ascii="宋体" w:hAnsi="宋体"/>
                <w:color w:val="000000"/>
                <w:highlight w:val="none"/>
              </w:rPr>
            </w:r>
            <w:r/>
          </w:p>
          <w:p>
            <w:pPr>
              <w:pStyle w:val="809"/>
              <w:numPr>
                <w:ilvl w:val="0"/>
                <w:numId w:val="0"/>
              </w:numPr>
              <w:spacing w:line="360" w:lineRule="auto"/>
              <w:rPr>
                <w:rFonts w:ascii="宋体" w:hAnsi="宋体"/>
                <w:color w:val="000000"/>
                <w:highlight w:val="none"/>
              </w:rPr>
            </w:pPr>
            <w:r>
              <w:rPr>
                <w:rFonts w:ascii="宋体" w:hAnsi="宋体"/>
                <w:color w:val="000000"/>
                <w:sz w:val="21"/>
                <w:szCs w:val="24"/>
                <w:highlight w:val="none"/>
                <w:lang w:val="en-US" w:eastAsia="zh-CN" w:bidi="ar-SA"/>
              </w:rPr>
              <w:t xml:space="preserve">3、</w:t>
            </w:r>
            <w:r>
              <w:rPr>
                <w:rFonts w:hint="eastAsia" w:ascii="宋体" w:cs="宋体"/>
                <w:color w:val="000000"/>
                <w:szCs w:val="21"/>
                <w:highlight w:val="none"/>
              </w:rPr>
              <w:t xml:space="preserve">内容完整性、合理性一般或部分满足项目需求的得1分；</w:t>
            </w:r>
            <w:r>
              <w:rPr>
                <w:rFonts w:ascii="宋体" w:hAnsi="宋体"/>
                <w:color w:val="000000"/>
                <w:highlight w:val="none"/>
              </w:rPr>
            </w:r>
            <w:r/>
          </w:p>
          <w:p>
            <w:pPr>
              <w:pStyle w:val="809"/>
              <w:numPr>
                <w:ilvl w:val="0"/>
                <w:numId w:val="0"/>
              </w:numPr>
              <w:spacing w:line="360" w:lineRule="auto"/>
              <w:rPr>
                <w:rFonts w:ascii="宋体" w:hAnsi="宋体"/>
                <w:color w:val="000000"/>
                <w:highlight w:val="none"/>
              </w:rPr>
            </w:pPr>
            <w:r>
              <w:rPr>
                <w:rFonts w:ascii="宋体" w:hAnsi="宋体"/>
                <w:color w:val="000000"/>
                <w:sz w:val="21"/>
                <w:szCs w:val="24"/>
                <w:highlight w:val="none"/>
                <w:lang w:val="en-US" w:eastAsia="zh-CN" w:bidi="ar-SA"/>
              </w:rPr>
              <w:t xml:space="preserve">4、</w:t>
            </w:r>
            <w:r>
              <w:rPr>
                <w:rFonts w:hint="eastAsia" w:ascii="宋体" w:cs="宋体"/>
                <w:color w:val="000000"/>
                <w:szCs w:val="21"/>
                <w:highlight w:val="none"/>
              </w:rPr>
              <w:t xml:space="preserve">不提供不得分。</w:t>
            </w:r>
            <w:r>
              <w:rPr>
                <w:rFonts w:ascii="宋体" w:hAnsi="宋体"/>
                <w:color w:val="000000"/>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rHeight w:val="469"/>
        </w:trPr>
        <w:tc>
          <w:tcPr>
            <w:tcW w:w="835" w:type="dxa"/>
            <w:vAlign w:val="center"/>
            <w:textDirection w:val="lrTb"/>
            <w:noWrap w:val="false"/>
          </w:tcPr>
          <w:p>
            <w:pPr>
              <w:pStyle w:val="809"/>
              <w:ind w:firstLine="28"/>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客观分</w:t>
            </w:r>
            <w:r>
              <w:rPr>
                <w:rFonts w:ascii="宋体" w:hAnsi="宋体"/>
                <w:b/>
                <w:bCs/>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28</w:t>
            </w:r>
            <w:r>
              <w:rPr>
                <w:rFonts w:ascii="宋体" w:hAnsi="宋体"/>
                <w:b/>
                <w:bCs/>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ascii="宋体" w:hAnsi="宋体"/>
                <w:color w:val="000000"/>
                <w:sz w:val="24"/>
                <w:highlight w:val="none"/>
              </w:rPr>
            </w:r>
            <w:r/>
          </w:p>
        </w:tc>
        <w:tc>
          <w:tcPr>
            <w:tcW w:w="1882" w:type="dxa"/>
            <w:vAlign w:val="center"/>
            <w:textDirection w:val="lrTb"/>
            <w:noWrap w:val="false"/>
          </w:tcPr>
          <w:p>
            <w:pPr>
              <w:pStyle w:val="809"/>
              <w:ind w:left="-38"/>
              <w:spacing w:line="360" w:lineRule="auto"/>
              <w:rPr>
                <w:color w:val="000000"/>
                <w:sz w:val="24"/>
                <w:highlight w:val="none"/>
              </w:rPr>
            </w:pP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类似业绩</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自20</w:t>
            </w:r>
            <w:r>
              <w:rPr>
                <w:rFonts w:ascii="宋体" w:hAnsi="宋体"/>
                <w:color w:val="000000"/>
                <w:sz w:val="24"/>
                <w:highlight w:val="none"/>
              </w:rPr>
              <w:t xml:space="preserve">2</w:t>
            </w:r>
            <w:r>
              <w:rPr>
                <w:rFonts w:hint="eastAsia" w:ascii="宋体" w:hAnsi="宋体"/>
                <w:color w:val="000000"/>
                <w:sz w:val="24"/>
                <w:highlight w:val="none"/>
              </w:rPr>
              <w:t xml:space="preserve">2年1月1日以来，供应商承担过类似场地、土壤及地下水监测等相关类型项目业绩的，每有一项得2分，最高得10分。</w:t>
            </w:r>
            <w:r>
              <w:rPr>
                <w:rFonts w:ascii="宋体" w:hAnsi="宋体"/>
                <w:color w:val="000000"/>
                <w:sz w:val="24"/>
                <w:highlight w:val="none"/>
              </w:rPr>
            </w:r>
            <w:r/>
          </w:p>
        </w:tc>
        <w:tc>
          <w:tcPr>
            <w:tcW w:w="1882" w:type="dxa"/>
            <w:vAlign w:val="center"/>
            <w:textDirection w:val="lrTb"/>
            <w:noWrap w:val="false"/>
          </w:tcPr>
          <w:p>
            <w:pPr>
              <w:pStyle w:val="809"/>
              <w:ind w:left="-38"/>
              <w:spacing w:line="440" w:lineRule="exact"/>
              <w:rPr>
                <w:color w:val="000000"/>
                <w:sz w:val="24"/>
                <w:highlight w:val="none"/>
              </w:rPr>
            </w:pPr>
            <w:r>
              <w:rPr>
                <w:rFonts w:hint="eastAsia"/>
                <w:color w:val="000000"/>
                <w:sz w:val="24"/>
                <w:highlight w:val="none"/>
              </w:rPr>
              <w:t xml:space="preserve">时间以合同签订时间为准。</w:t>
            </w:r>
            <w:r>
              <w:rPr>
                <w:color w:val="000000"/>
                <w:sz w:val="24"/>
                <w:highlight w:val="none"/>
              </w:rPr>
            </w:r>
            <w:r/>
          </w:p>
          <w:p>
            <w:pPr>
              <w:pStyle w:val="809"/>
              <w:ind w:left="-38"/>
              <w:spacing w:line="440" w:lineRule="exact"/>
              <w:rPr>
                <w:color w:val="000000"/>
                <w:sz w:val="24"/>
                <w:highlight w:val="none"/>
              </w:rPr>
            </w:pPr>
            <w:r>
              <w:rPr>
                <w:rFonts w:hint="eastAsia"/>
                <w:color w:val="000000"/>
                <w:sz w:val="24"/>
                <w:highlight w:val="none"/>
              </w:rPr>
              <w:t xml:space="preserve">提供合同扫描件加盖公章。</w:t>
            </w:r>
            <w:r>
              <w:rPr>
                <w:color w:val="000000"/>
                <w:sz w:val="24"/>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ascii="宋体" w:hAnsi="宋体"/>
                <w:color w:val="000000"/>
                <w:sz w:val="24"/>
                <w:highlight w:val="none"/>
              </w:rPr>
              <w:t xml:space="preserve">3.2</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器材设备</w:t>
            </w:r>
            <w:r>
              <w:rPr>
                <w:rFonts w:hint="eastAsia" w:ascii="宋体" w:hAnsi="宋体" w:eastAsia="宋体"/>
                <w:color w:val="000000"/>
                <w:sz w:val="24"/>
                <w:highlight w:val="none"/>
                <w:lang w:eastAsia="zh-CN"/>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供应商拟配备本项目</w:t>
            </w:r>
            <w:r>
              <w:rPr>
                <w:rFonts w:hint="eastAsia" w:ascii="宋体" w:hAnsi="宋体"/>
                <w:color w:val="000000"/>
                <w:sz w:val="24"/>
                <w:highlight w:val="none"/>
              </w:rPr>
              <w:t xml:space="preserve">自有或租赁</w:t>
            </w:r>
            <w:r>
              <w:rPr>
                <w:rFonts w:hint="eastAsia" w:ascii="宋体" w:hAnsi="宋体"/>
                <w:color w:val="000000"/>
                <w:sz w:val="24"/>
                <w:highlight w:val="none"/>
              </w:rPr>
              <w:t xml:space="preserve">的设备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现场快速检测仪器设备：</w:t>
            </w:r>
            <w:r>
              <w:rPr>
                <w:rFonts w:ascii="宋体" w:hAnsi="宋体"/>
                <w:color w:val="000000"/>
                <w:sz w:val="24"/>
                <w:highlight w:val="none"/>
              </w:rPr>
            </w:r>
            <w:r/>
          </w:p>
          <w:p>
            <w:pPr>
              <w:pStyle w:val="809"/>
              <w:numPr>
                <w:ilvl w:val="0"/>
                <w:numId w:val="0"/>
              </w:numPr>
              <w:spacing w:line="360" w:lineRule="auto"/>
              <w:rPr>
                <w:rFonts w:ascii="宋体" w:hAnsi="宋体"/>
                <w:color w:val="000000"/>
                <w:sz w:val="24"/>
                <w:highlight w:val="none"/>
              </w:rPr>
            </w:pPr>
            <w:r>
              <w:rPr>
                <w:rFonts w:ascii="宋体" w:hAnsi="宋体"/>
                <w:color w:val="000000"/>
                <w:sz w:val="24"/>
                <w:szCs w:val="24"/>
                <w:highlight w:val="none"/>
                <w:lang w:val="en-US" w:eastAsia="zh-CN" w:bidi="ar-SA"/>
              </w:rPr>
              <w:t xml:space="preserve">1.</w:t>
            </w:r>
            <w:r>
              <w:rPr>
                <w:rFonts w:hint="eastAsia" w:ascii="宋体" w:hAnsi="宋体"/>
                <w:color w:val="000000"/>
                <w:sz w:val="24"/>
                <w:highlight w:val="none"/>
              </w:rPr>
              <w:t xml:space="preserve">具有手持式X荧光光谱仪(XRF)，得1分；</w:t>
            </w:r>
            <w:r>
              <w:rPr>
                <w:rFonts w:ascii="宋体" w:hAnsi="宋体"/>
                <w:color w:val="000000"/>
                <w:sz w:val="24"/>
                <w:highlight w:val="none"/>
              </w:rPr>
            </w:r>
            <w:r/>
          </w:p>
          <w:p>
            <w:pPr>
              <w:pStyle w:val="809"/>
              <w:numPr>
                <w:ilvl w:val="0"/>
                <w:numId w:val="0"/>
              </w:numPr>
              <w:spacing w:line="360" w:lineRule="auto"/>
              <w:rPr>
                <w:rFonts w:ascii="宋体" w:hAnsi="宋体"/>
                <w:color w:val="000000"/>
                <w:sz w:val="24"/>
                <w:highlight w:val="none"/>
              </w:rPr>
            </w:pPr>
            <w:r>
              <w:rPr>
                <w:rFonts w:ascii="宋体" w:hAnsi="宋体"/>
                <w:color w:val="000000"/>
                <w:sz w:val="24"/>
                <w:szCs w:val="24"/>
                <w:highlight w:val="none"/>
                <w:lang w:val="en-US" w:eastAsia="zh-CN" w:bidi="ar-SA"/>
              </w:rPr>
              <w:t xml:space="preserve">2.</w:t>
            </w:r>
            <w:r>
              <w:rPr>
                <w:rFonts w:hint="eastAsia" w:ascii="宋体" w:hAnsi="宋体"/>
                <w:color w:val="000000"/>
                <w:sz w:val="24"/>
                <w:highlight w:val="none"/>
              </w:rPr>
              <w:t xml:space="preserve">具有VOC检测仪（PID），得1分。</w:t>
            </w:r>
            <w:r>
              <w:rPr>
                <w:rFonts w:ascii="宋体" w:hAnsi="宋体"/>
                <w:color w:val="000000"/>
                <w:sz w:val="24"/>
                <w:highlight w:val="none"/>
              </w:rPr>
            </w:r>
            <w:r/>
          </w:p>
          <w:p>
            <w:pPr>
              <w:pStyle w:val="809"/>
              <w:numPr>
                <w:ilvl w:val="0"/>
                <w:numId w:val="0"/>
              </w:numPr>
              <w:spacing w:line="360" w:lineRule="auto"/>
              <w:rPr>
                <w:rFonts w:ascii="宋体" w:hAnsi="宋体"/>
                <w:color w:val="000000"/>
                <w:sz w:val="24"/>
                <w:highlight w:val="none"/>
              </w:rPr>
            </w:pPr>
            <w:r>
              <w:rPr>
                <w:rFonts w:ascii="宋体" w:hAnsi="宋体"/>
                <w:color w:val="000000"/>
                <w:sz w:val="24"/>
                <w:szCs w:val="24"/>
                <w:highlight w:val="none"/>
                <w:lang w:val="en-US" w:eastAsia="zh-CN" w:bidi="ar-SA"/>
              </w:rPr>
              <w:t xml:space="preserve">3.</w:t>
            </w:r>
            <w:r>
              <w:rPr>
                <w:rFonts w:hint="eastAsia" w:ascii="宋体" w:hAnsi="宋体"/>
                <w:color w:val="000000"/>
                <w:sz w:val="24"/>
                <w:highlight w:val="none"/>
              </w:rPr>
              <w:t xml:space="preserve">具有手持全球定位系统（GPS）或（RTK）设备，得1分。</w:t>
            </w:r>
            <w:r>
              <w:rPr>
                <w:rFonts w:ascii="宋体" w:hAnsi="宋体"/>
                <w:color w:val="000000"/>
                <w:sz w:val="24"/>
                <w:highlight w:val="none"/>
              </w:rPr>
            </w:r>
            <w:r/>
          </w:p>
          <w:p>
            <w:pPr>
              <w:pStyle w:val="809"/>
              <w:numPr>
                <w:ilvl w:val="0"/>
                <w:numId w:val="0"/>
              </w:numPr>
              <w:spacing w:line="360" w:lineRule="auto"/>
              <w:rPr>
                <w:rFonts w:ascii="宋体" w:hAnsi="宋体"/>
                <w:color w:val="000000"/>
                <w:sz w:val="24"/>
                <w:highlight w:val="none"/>
              </w:rPr>
            </w:pPr>
            <w:r>
              <w:rPr>
                <w:rFonts w:ascii="宋体" w:hAnsi="宋体"/>
                <w:color w:val="000000"/>
                <w:sz w:val="24"/>
                <w:szCs w:val="24"/>
                <w:highlight w:val="none"/>
                <w:lang w:val="en-US" w:eastAsia="zh-CN" w:bidi="ar-SA"/>
              </w:rPr>
              <w:t xml:space="preserve">4.</w:t>
            </w:r>
            <w:r>
              <w:rPr>
                <w:rFonts w:hint="eastAsia" w:ascii="宋体" w:hAnsi="宋体"/>
                <w:color w:val="000000"/>
                <w:sz w:val="24"/>
                <w:highlight w:val="none"/>
              </w:rPr>
              <w:t xml:space="preserve">具有无人机遥感设备，得1分；</w:t>
            </w:r>
            <w:r>
              <w:rPr>
                <w:rFonts w:ascii="宋体" w:hAnsi="宋体"/>
                <w:color w:val="000000"/>
                <w:sz w:val="24"/>
                <w:highlight w:val="none"/>
              </w:rPr>
            </w:r>
            <w:r/>
          </w:p>
          <w:p>
            <w:pPr>
              <w:pStyle w:val="809"/>
              <w:numPr>
                <w:ilvl w:val="0"/>
                <w:numId w:val="0"/>
              </w:numPr>
              <w:spacing w:line="360" w:lineRule="auto"/>
              <w:rPr>
                <w:rFonts w:ascii="宋体" w:hAnsi="宋体"/>
                <w:color w:val="000000"/>
                <w:sz w:val="24"/>
                <w:highlight w:val="none"/>
              </w:rPr>
            </w:pPr>
            <w:r>
              <w:rPr>
                <w:rFonts w:ascii="宋体" w:hAnsi="宋体"/>
                <w:color w:val="000000"/>
                <w:sz w:val="24"/>
                <w:szCs w:val="24"/>
                <w:highlight w:val="none"/>
                <w:lang w:val="en-US" w:eastAsia="zh-CN" w:bidi="ar-SA"/>
              </w:rPr>
              <w:t xml:space="preserve">5.</w:t>
            </w:r>
            <w:r>
              <w:rPr>
                <w:rFonts w:hint="eastAsia" w:ascii="宋体" w:hAnsi="宋体"/>
                <w:color w:val="000000"/>
                <w:sz w:val="24"/>
                <w:highlight w:val="none"/>
              </w:rPr>
              <w:t xml:space="preserve">具有土壤采样钻机，得1分。</w:t>
            </w:r>
            <w:r>
              <w:rPr>
                <w:rFonts w:ascii="宋体" w:hAnsi="宋体"/>
                <w:color w:val="000000"/>
                <w:sz w:val="24"/>
                <w:highlight w:val="none"/>
              </w:rPr>
            </w:r>
            <w:r/>
          </w:p>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本项最高得5分</w:t>
            </w:r>
            <w:r>
              <w:rPr>
                <w:rFonts w:ascii="宋体" w:hAnsi="宋体"/>
                <w:color w:val="000000"/>
                <w:sz w:val="24"/>
                <w:highlight w:val="none"/>
              </w:rPr>
            </w:r>
            <w:r/>
          </w:p>
        </w:tc>
        <w:tc>
          <w:tcPr>
            <w:tcW w:w="1882" w:type="dxa"/>
            <w:vAlign w:val="center"/>
            <w:textDirection w:val="lrTb"/>
            <w:noWrap w:val="false"/>
          </w:tcPr>
          <w:p>
            <w:pPr>
              <w:pStyle w:val="809"/>
              <w:ind w:left="-38"/>
              <w:spacing w:line="440" w:lineRule="exact"/>
              <w:rPr>
                <w:color w:val="000000"/>
                <w:sz w:val="24"/>
                <w:highlight w:val="none"/>
              </w:rPr>
            </w:pPr>
            <w:r>
              <w:rPr>
                <w:rFonts w:hint="eastAsia"/>
                <w:color w:val="000000"/>
                <w:sz w:val="24"/>
                <w:highlight w:val="none"/>
              </w:rPr>
              <w:t xml:space="preserve">（1）自有的提供购买发票电子扫描件</w:t>
            </w:r>
            <w:r>
              <w:rPr>
                <w:rFonts w:hint="eastAsia"/>
                <w:color w:val="000000"/>
                <w:sz w:val="24"/>
                <w:highlight w:val="none"/>
              </w:rPr>
              <w:t xml:space="preserve">加盖</w:t>
            </w:r>
            <w:r>
              <w:rPr>
                <w:rFonts w:hint="eastAsia"/>
                <w:color w:val="000000"/>
                <w:sz w:val="24"/>
                <w:highlight w:val="none"/>
              </w:rPr>
              <w:t xml:space="preserve">公章</w:t>
            </w:r>
            <w:r>
              <w:rPr>
                <w:rFonts w:hint="eastAsia"/>
                <w:color w:val="000000"/>
                <w:sz w:val="24"/>
                <w:highlight w:val="none"/>
              </w:rPr>
              <w:t xml:space="preserve">；</w:t>
            </w:r>
            <w:r>
              <w:rPr>
                <w:color w:val="000000"/>
                <w:sz w:val="24"/>
                <w:highlight w:val="none"/>
              </w:rPr>
            </w:r>
            <w:r/>
          </w:p>
          <w:p>
            <w:pPr>
              <w:pStyle w:val="809"/>
              <w:ind w:left="-38"/>
              <w:spacing w:line="440" w:lineRule="exact"/>
              <w:rPr>
                <w:rFonts w:hint="eastAsia"/>
                <w:color w:val="000000"/>
                <w:sz w:val="24"/>
                <w:szCs w:val="24"/>
                <w:highlight w:val="none"/>
              </w:rPr>
            </w:pPr>
            <w:r>
              <w:rPr>
                <w:rFonts w:hint="eastAsia"/>
                <w:color w:val="000000"/>
                <w:sz w:val="24"/>
                <w:highlight w:val="none"/>
              </w:rPr>
              <w:t xml:space="preserve">（2）租赁的同时提供租赁及租赁发票电子扫描件</w:t>
            </w:r>
            <w:r>
              <w:rPr>
                <w:rFonts w:hint="eastAsia"/>
                <w:color w:val="000000"/>
                <w:sz w:val="24"/>
                <w:highlight w:val="none"/>
              </w:rPr>
            </w:r>
            <w:r>
              <w:rPr>
                <w:rFonts w:hint="eastAsia"/>
                <w:color w:val="000000"/>
                <w:sz w:val="24"/>
                <w:highlight w:val="none"/>
              </w:rPr>
              <w:t xml:space="preserve">加盖</w:t>
            </w:r>
            <w:r>
              <w:rPr>
                <w:rFonts w:hint="eastAsia"/>
                <w:color w:val="000000"/>
                <w:sz w:val="24"/>
                <w:highlight w:val="none"/>
              </w:rPr>
              <w:t xml:space="preserve">公章</w:t>
            </w:r>
            <w:r>
              <w:rPr>
                <w:rFonts w:hint="eastAsia"/>
                <w:color w:val="000000"/>
                <w:sz w:val="24"/>
                <w:highlight w:val="none"/>
              </w:rPr>
              <w:t xml:space="preserve">；</w:t>
            </w:r>
            <w:r/>
            <w:r>
              <w:rPr>
                <w:rFonts w:hint="eastAsia"/>
                <w:color w:val="000000"/>
                <w:sz w:val="24"/>
                <w:highlight w:val="none"/>
              </w:rPr>
            </w:r>
            <w:r>
              <w:rPr>
                <w:color w:val="000000"/>
                <w:sz w:val="24"/>
                <w:highlight w:val="none"/>
              </w:rPr>
            </w:r>
          </w:p>
          <w:p>
            <w:pPr>
              <w:ind w:left="-38"/>
              <w:spacing w:line="440" w:lineRule="exact"/>
              <w:rPr>
                <w:color w:val="000000"/>
                <w:sz w:val="24"/>
                <w:szCs w:val="24"/>
                <w:highlight w:val="none"/>
              </w:rPr>
            </w:pPr>
            <w:r>
              <w:rPr>
                <w:rFonts w:hint="eastAsia"/>
                <w:color w:val="000000"/>
                <w:sz w:val="24"/>
                <w:highlight w:val="none"/>
              </w:rPr>
              <w:t xml:space="preserve">不提供</w:t>
            </w:r>
            <w:r>
              <w:rPr>
                <w:rFonts w:hint="eastAsia"/>
                <w:color w:val="000000"/>
                <w:sz w:val="24"/>
                <w:highlight w:val="none"/>
              </w:rPr>
              <w:t xml:space="preserve">不得分。</w:t>
            </w: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.3</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项目负责人具有环境类高级及以上职称的得2分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val="en-US" w:eastAsia="zh-CN"/>
              </w:rPr>
            </w:r>
            <w:r/>
          </w:p>
        </w:tc>
        <w:tc>
          <w:tcPr>
            <w:tcW w:w="1882" w:type="dxa"/>
            <w:vAlign w:val="center"/>
            <w:vMerge w:val="restart"/>
            <w:textDirection w:val="lrTb"/>
            <w:noWrap w:val="false"/>
          </w:tcPr>
          <w:p>
            <w:pPr>
              <w:pStyle w:val="809"/>
              <w:ind w:left="-38"/>
              <w:spacing w:line="440" w:lineRule="exact"/>
              <w:rPr>
                <w:color w:val="000000"/>
                <w:szCs w:val="21"/>
                <w:highlight w:val="none"/>
              </w:rPr>
            </w:pPr>
            <w:r>
              <w:rPr>
                <w:rFonts w:hint="eastAsia"/>
                <w:color w:val="000000"/>
                <w:szCs w:val="21"/>
                <w:highlight w:val="none"/>
              </w:rPr>
              <w:t xml:space="preserve">同时提供职称证书和社保证明电子扫描件【由社保机构出具的投标单位为其缴纳的社会保险的凭证加盖社保机构公章或社保中心官网上缴纳记录加盖投标单位公章（缴纳时间为：</w:t>
            </w:r>
            <w:r>
              <w:rPr>
                <w:rFonts w:hint="eastAsia"/>
                <w:color w:val="000000"/>
                <w:szCs w:val="21"/>
                <w:highlight w:val="none"/>
              </w:rPr>
              <w:t xml:space="preserve">2025年8月至资审时间内</w:t>
            </w:r>
            <w:r>
              <w:rPr>
                <w:rFonts w:hint="eastAsia"/>
                <w:color w:val="000000"/>
                <w:szCs w:val="21"/>
                <w:highlight w:val="none"/>
              </w:rPr>
              <w:t xml:space="preserve">中任意1个月）。】</w:t>
            </w:r>
            <w:r>
              <w:rPr>
                <w:color w:val="000000"/>
                <w:szCs w:val="21"/>
                <w:highlight w:val="none"/>
              </w:rPr>
            </w:r>
            <w:r/>
          </w:p>
          <w:p>
            <w:pPr>
              <w:pStyle w:val="809"/>
              <w:ind w:left="-38"/>
              <w:spacing w:line="440" w:lineRule="exact"/>
              <w:rPr>
                <w:color w:val="000000"/>
                <w:highlight w:val="none"/>
              </w:rPr>
            </w:pPr>
            <w:r>
              <w:rPr>
                <w:rFonts w:hint="eastAsia"/>
                <w:color w:val="000000"/>
                <w:szCs w:val="21"/>
                <w:highlight w:val="none"/>
              </w:rPr>
              <w:t xml:space="preserve">若为返聘人员：同时提供职称证书复印件加盖公章、退休证复印件加盖公章及返聘合同复印件加盖公章。</w:t>
            </w:r>
            <w:r>
              <w:rPr>
                <w:color w:val="000000"/>
                <w:szCs w:val="21"/>
                <w:highlight w:val="none"/>
              </w:rPr>
            </w:r>
            <w:r/>
          </w:p>
          <w:p>
            <w:pPr>
              <w:ind w:left="-38"/>
              <w:spacing w:line="440" w:lineRule="exact"/>
              <w:rPr>
                <w:color w:val="000000"/>
                <w:highlight w:val="none"/>
              </w:rPr>
            </w:pPr>
            <w:r>
              <w:rPr>
                <w:color w:val="000000"/>
                <w:szCs w:val="21"/>
                <w:highlight w:val="none"/>
              </w:rPr>
              <w:t xml:space="preserve">不提供</w:t>
            </w:r>
            <w:r>
              <w:rPr>
                <w:color w:val="000000"/>
                <w:szCs w:val="21"/>
                <w:highlight w:val="none"/>
              </w:rPr>
              <w:t xml:space="preserve">不得分</w:t>
            </w:r>
            <w:r>
              <w:rPr>
                <w:color w:val="000000"/>
                <w:szCs w:val="21"/>
                <w:highlight w:val="none"/>
              </w:rPr>
              <w:t xml:space="preserve">。</w:t>
            </w:r>
            <w:r>
              <w:rPr>
                <w:color w:val="000000"/>
                <w:szCs w:val="21"/>
                <w:highlight w:val="none"/>
              </w:rPr>
            </w:r>
            <w:r>
              <w:rPr>
                <w:color w:val="000000"/>
                <w:szCs w:val="21"/>
                <w:highlight w:val="none"/>
              </w:rP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.4</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项目</w:t>
            </w:r>
            <w:r>
              <w:rPr>
                <w:rFonts w:hint="eastAsia" w:ascii="宋体" w:hAnsi="宋体"/>
                <w:color w:val="000000"/>
                <w:sz w:val="24"/>
                <w:highlight w:val="none"/>
                <w:lang w:val="en-US" w:eastAsia="zh-CN"/>
              </w:rPr>
              <w:t xml:space="preserve">组成员</w:t>
            </w:r>
            <w:r>
              <w:rPr>
                <w:rFonts w:ascii="宋体" w:hAnsi="宋体" w:eastAsia="宋体"/>
                <w:color w:val="000000"/>
                <w:sz w:val="24"/>
                <w:highlight w:val="none"/>
                <w:lang w:val="en-US" w:eastAsia="zh-CN"/>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hint="eastAsia" w:ascii="宋体" w:hAnsi="宋体"/>
                <w:color w:val="000000"/>
                <w:sz w:val="24"/>
                <w:highlight w:val="none"/>
              </w:rPr>
              <w:t xml:space="preserve">项目组成员（不含项目负责人）具有环境、土壤或水文地质类</w:t>
            </w:r>
            <w:r>
              <w:rPr>
                <w:rFonts w:hint="eastAsia" w:ascii="宋体" w:hAnsi="宋体"/>
                <w:color w:val="000000"/>
                <w:sz w:val="24"/>
                <w:highlight w:val="none"/>
                <w:lang w:val="en-US" w:eastAsia="zh-CN"/>
              </w:rPr>
              <w:t xml:space="preserve">高级</w:t>
            </w:r>
            <w:r>
              <w:rPr>
                <w:rFonts w:hint="eastAsia" w:ascii="宋体" w:hAnsi="宋体"/>
                <w:color w:val="000000"/>
                <w:sz w:val="24"/>
                <w:highlight w:val="none"/>
              </w:rPr>
              <w:t xml:space="preserve">职称的，每有1人得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具有环境、土壤或水文地质类</w:t>
            </w:r>
            <w:r>
              <w:rPr>
                <w:rFonts w:hint="eastAsia" w:ascii="宋体" w:hAnsi="宋体"/>
                <w:color w:val="000000"/>
                <w:sz w:val="24"/>
                <w:highlight w:val="none"/>
                <w:lang w:val="en-US" w:eastAsia="zh-CN"/>
              </w:rPr>
              <w:t xml:space="preserve">中级</w:t>
            </w:r>
            <w:r>
              <w:rPr>
                <w:rFonts w:hint="eastAsia" w:ascii="宋体" w:hAnsi="宋体"/>
                <w:color w:val="000000"/>
                <w:sz w:val="24"/>
                <w:highlight w:val="none"/>
              </w:rPr>
              <w:t xml:space="preserve">职称的，每有1人得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本项最高得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w:t>
            </w:r>
            <w:r>
              <w:rPr>
                <w:rFonts w:ascii="宋体" w:hAnsi="宋体"/>
                <w:color w:val="000000"/>
                <w:sz w:val="24"/>
                <w:highlight w:val="none"/>
              </w:rPr>
            </w:r>
            <w:r/>
          </w:p>
        </w:tc>
        <w:tc>
          <w:tcPr>
            <w:tcW w:w="1882" w:type="dxa"/>
            <w:vAlign w:val="center"/>
            <w:vMerge w:val="continue"/>
            <w:textDirection w:val="lrTb"/>
            <w:noWrap w:val="false"/>
          </w:tcPr>
          <w:p>
            <w:pPr>
              <w:pStyle w:val="809"/>
              <w:ind w:left="-38"/>
              <w:spacing w:line="440" w:lineRule="exact"/>
              <w:rPr>
                <w:color w:val="000000"/>
                <w:szCs w:val="21"/>
                <w:highlight w:val="none"/>
              </w:rPr>
            </w:pPr>
            <w:r>
              <w:rPr>
                <w:color w:val="000000"/>
                <w:szCs w:val="21"/>
                <w:highlight w:val="none"/>
              </w:rPr>
            </w:r>
            <w:r/>
          </w:p>
        </w:tc>
      </w:tr>
      <w:tr>
        <w:trPr/>
        <w:tc>
          <w:tcPr>
            <w:tcW w:w="835"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.5</w:t>
            </w:r>
            <w:r>
              <w:rPr>
                <w:rFonts w:ascii="宋体" w:hAnsi="宋体"/>
                <w:color w:val="000000"/>
                <w:sz w:val="24"/>
                <w:highlight w:val="none"/>
              </w:rPr>
            </w:r>
            <w:r/>
          </w:p>
        </w:tc>
        <w:tc>
          <w:tcPr>
            <w:tcW w:w="1462" w:type="dxa"/>
            <w:vAlign w:val="center"/>
            <w:textDirection w:val="lrTb"/>
            <w:noWrap w:val="false"/>
          </w:tcPr>
          <w:p>
            <w:pPr>
              <w:pStyle w:val="809"/>
              <w:ind w:firstLine="28"/>
              <w:jc w:val="center"/>
              <w:spacing w:line="360" w:lineRule="auto"/>
              <w:rPr>
                <w:rFonts w:ascii="宋体" w:hAnsi="宋体" w:eastAsia="宋体"/>
                <w:color w:val="000000"/>
                <w:sz w:val="24"/>
                <w:highlight w:val="none"/>
                <w:lang w:val="en-US" w:eastAsia="zh-CN"/>
              </w:rPr>
            </w:pPr>
            <w:r>
              <w:rPr>
                <w:rFonts w:hint="eastAsia"/>
                <w:color w:val="000000"/>
                <w:sz w:val="24"/>
                <w:highlight w:val="none"/>
                <w:lang w:val="en-US" w:eastAsia="zh-CN"/>
              </w:rPr>
              <w:t xml:space="preserve">实验室</w:t>
            </w:r>
            <w:r>
              <w:rPr>
                <w:rFonts w:ascii="宋体" w:hAnsi="宋体" w:eastAsia="宋体"/>
                <w:color w:val="000000"/>
                <w:sz w:val="24"/>
                <w:highlight w:val="none"/>
                <w:lang w:val="en-US" w:eastAsia="zh-CN"/>
              </w:rPr>
            </w:r>
            <w:r/>
          </w:p>
        </w:tc>
        <w:tc>
          <w:tcPr>
            <w:tcW w:w="913" w:type="dxa"/>
            <w:vAlign w:val="center"/>
            <w:textDirection w:val="lrTb"/>
            <w:noWrap w:val="false"/>
          </w:tcPr>
          <w:p>
            <w:pPr>
              <w:pStyle w:val="809"/>
              <w:ind w:firstLine="28"/>
              <w:jc w:val="center"/>
              <w:spacing w:line="360" w:lineRule="auto"/>
              <w:rPr>
                <w:rFonts w:ascii="宋体" w:hAnsi="宋体"/>
                <w:color w:val="000000"/>
                <w:sz w:val="24"/>
                <w:highlight w:val="none"/>
              </w:rPr>
            </w:pPr>
            <w:r>
              <w:rPr>
                <w:rFonts w:hint="eastAsia"/>
                <w:color w:val="000000"/>
                <w:sz w:val="24"/>
                <w:highlight w:val="none"/>
              </w:rPr>
              <w:t xml:space="preserve">3</w:t>
            </w:r>
            <w:r>
              <w:rPr>
                <w:rFonts w:ascii="宋体" w:hAnsi="宋体"/>
                <w:color w:val="000000"/>
                <w:sz w:val="24"/>
                <w:highlight w:val="none"/>
              </w:rPr>
            </w:r>
            <w:r/>
          </w:p>
        </w:tc>
        <w:tc>
          <w:tcPr>
            <w:tcW w:w="4536" w:type="dxa"/>
            <w:vAlign w:val="center"/>
            <w:textDirection w:val="lrTb"/>
            <w:noWrap w:val="false"/>
          </w:tcPr>
          <w:p>
            <w:pPr>
              <w:pStyle w:val="809"/>
              <w:spacing w:line="360" w:lineRule="auto"/>
              <w:rPr>
                <w:rFonts w:ascii="宋体" w:hAnsi="宋体"/>
                <w:color w:val="000000"/>
                <w:sz w:val="24"/>
                <w:highlight w:val="none"/>
              </w:rPr>
            </w:pPr>
            <w:r>
              <w:rPr>
                <w:rFonts w:hint="eastAsia"/>
                <w:color w:val="000000"/>
                <w:sz w:val="24"/>
                <w:highlight w:val="none"/>
              </w:rPr>
              <w:t xml:space="preserve">供应商具备CMA资质（具有《土壤环境质量建设用地土壤污染风险管控标准》（GB36600-2018）表1基本项目45项的）</w:t>
            </w:r>
            <w:r>
              <w:rPr>
                <w:rFonts w:hint="eastAsia"/>
                <w:color w:val="000000"/>
                <w:sz w:val="24"/>
                <w:highlight w:val="none"/>
              </w:rPr>
              <w:t xml:space="preserve">或与</w:t>
            </w:r>
            <w:r>
              <w:rPr>
                <w:rFonts w:hint="eastAsia"/>
                <w:color w:val="000000"/>
                <w:sz w:val="24"/>
                <w:highlight w:val="none"/>
              </w:rPr>
              <w:t xml:space="preserve">具有CMA资质的环境检测机构（具有《土壤环境质量建设用地土壤污染风险管控标准》（GB36600-2018）表1基本项目45项的）签订服务保障协议的，得3分。</w:t>
            </w:r>
            <w:r>
              <w:rPr>
                <w:rFonts w:ascii="宋体" w:hAnsi="宋体"/>
                <w:color w:val="000000"/>
                <w:sz w:val="24"/>
                <w:highlight w:val="none"/>
              </w:rPr>
            </w:r>
            <w:r/>
          </w:p>
        </w:tc>
        <w:tc>
          <w:tcPr>
            <w:tcW w:w="1882" w:type="dxa"/>
            <w:vAlign w:val="center"/>
            <w:textDirection w:val="lrTb"/>
            <w:noWrap w:val="false"/>
          </w:tcPr>
          <w:p>
            <w:pPr>
              <w:pStyle w:val="809"/>
              <w:jc w:val="left"/>
              <w:spacing w:line="440" w:lineRule="exact"/>
              <w:widowControl/>
              <w:rPr>
                <w:rFonts w:ascii="宋体" w:hAnsi="宋体"/>
                <w:color w:val="000000"/>
                <w:szCs w:val="21"/>
                <w:highlight w:val="none"/>
              </w:rPr>
            </w:pPr>
            <w:r>
              <w:rPr>
                <w:rFonts w:hint="eastAsia" w:ascii="宋体" w:hAnsi="宋体"/>
                <w:color w:val="000000"/>
                <w:szCs w:val="21"/>
                <w:highlight w:val="none"/>
              </w:rPr>
              <w:t xml:space="preserve">（1）自有的需提供CMA证书及相应附件（所载内容能反映具备土壤环境检测基本45项能力）电子扫描件</w:t>
            </w:r>
            <w:r>
              <w:rPr>
                <w:rFonts w:hint="eastAsia" w:ascii="宋体" w:hAnsi="宋体"/>
                <w:color w:val="000000"/>
                <w:szCs w:val="21"/>
                <w:highlight w:val="none"/>
              </w:rPr>
              <w:t xml:space="preserve">加盖</w:t>
            </w:r>
            <w:r>
              <w:rPr>
                <w:rFonts w:hint="eastAsia" w:ascii="宋体" w:hAnsi="宋体"/>
                <w:color w:val="000000"/>
                <w:szCs w:val="21"/>
                <w:highlight w:val="none"/>
              </w:rPr>
              <w:t xml:space="preserve">公章</w:t>
            </w:r>
            <w:r>
              <w:rPr>
                <w:rFonts w:hint="eastAsia" w:ascii="宋体" w:hAnsi="宋体"/>
                <w:color w:val="000000"/>
                <w:szCs w:val="21"/>
                <w:highlight w:val="none"/>
              </w:rPr>
              <w:t xml:space="preserve">；</w:t>
            </w:r>
            <w:r>
              <w:rPr>
                <w:rFonts w:ascii="宋体" w:hAnsi="宋体"/>
                <w:color w:val="000000"/>
                <w:szCs w:val="21"/>
                <w:highlight w:val="none"/>
              </w:rPr>
            </w:r>
            <w:r/>
          </w:p>
          <w:p>
            <w:pPr>
              <w:pStyle w:val="809"/>
              <w:ind w:left="-38"/>
              <w:spacing w:line="440" w:lineRule="exact"/>
              <w:rPr>
                <w:rFonts w:ascii="宋体" w:hAnsi="宋体"/>
                <w:color w:val="000000"/>
                <w:szCs w:val="21"/>
                <w:highlight w:val="none"/>
              </w:rPr>
            </w:pPr>
            <w:r>
              <w:rPr>
                <w:rFonts w:hint="eastAsia" w:ascii="宋体" w:hAnsi="宋体"/>
                <w:color w:val="000000"/>
                <w:szCs w:val="21"/>
                <w:highlight w:val="none"/>
              </w:rPr>
              <w:t xml:space="preserve">（2）合作的需同时提供合作单位CMA证书及相应附件电子扫描件（所载内容能反映具备土壤环境检测基本45项能力）和服务保障协议电子扫描件</w:t>
            </w:r>
            <w:r>
              <w:rPr>
                <w:rFonts w:hint="eastAsia" w:ascii="宋体" w:hAnsi="宋体"/>
                <w:color w:val="000000"/>
                <w:szCs w:val="21"/>
                <w:highlight w:val="none"/>
              </w:rPr>
              <w:t xml:space="preserve">加盖</w:t>
            </w:r>
            <w:r>
              <w:rPr>
                <w:rFonts w:hint="eastAsia" w:ascii="宋体" w:hAnsi="宋体"/>
                <w:color w:val="000000"/>
                <w:szCs w:val="21"/>
                <w:highlight w:val="none"/>
              </w:rPr>
              <w:t xml:space="preserve">公章</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09"/>
              <w:ind w:left="-38"/>
              <w:spacing w:line="440" w:lineRule="exact"/>
              <w:rPr>
                <w:rFonts w:ascii="宋体" w:hAnsi="宋体"/>
                <w:color w:val="000000"/>
                <w:szCs w:val="21"/>
                <w:highlight w:val="none"/>
              </w:rPr>
            </w:pPr>
            <w:r>
              <w:rPr>
                <w:rFonts w:hint="eastAsia" w:ascii="宋体" w:hAnsi="宋体"/>
                <w:color w:val="000000"/>
                <w:szCs w:val="21"/>
                <w:highlight w:val="none"/>
              </w:rPr>
              <w:t xml:space="preserve">不提供不得分。</w:t>
            </w:r>
            <w:r>
              <w:rPr>
                <w:rFonts w:ascii="宋体" w:hAnsi="宋体"/>
                <w:color w:val="000000"/>
                <w:szCs w:val="21"/>
                <w:highlight w:val="none"/>
              </w:rPr>
            </w:r>
            <w:r/>
          </w:p>
        </w:tc>
      </w:tr>
      <w:tr>
        <w:trPr>
          <w:trHeight w:val="459"/>
        </w:trPr>
        <w:tc>
          <w:tcPr>
            <w:gridSpan w:val="2"/>
            <w:tcW w:w="2297" w:type="dxa"/>
            <w:vAlign w:val="center"/>
            <w:textDirection w:val="lrTb"/>
            <w:noWrap w:val="false"/>
          </w:tcPr>
          <w:p>
            <w:pPr>
              <w:pStyle w:val="809"/>
              <w:ind w:firstLine="28"/>
              <w:jc w:val="center"/>
              <w:spacing w:line="360" w:lineRule="auto"/>
              <w:rPr>
                <w:color w:val="000000"/>
                <w:sz w:val="24"/>
                <w:highlight w:val="none"/>
              </w:rPr>
            </w:pPr>
            <w:r>
              <w:rPr>
                <w:color w:val="000000"/>
                <w:sz w:val="24"/>
                <w:highlight w:val="none"/>
              </w:rPr>
              <w:t xml:space="preserve">合计</w:t>
            </w:r>
            <w:r>
              <w:rPr>
                <w:color w:val="000000"/>
                <w:sz w:val="24"/>
                <w:highlight w:val="none"/>
              </w:rPr>
            </w:r>
            <w:r/>
          </w:p>
        </w:tc>
        <w:tc>
          <w:tcPr>
            <w:tcW w:w="913" w:type="dxa"/>
            <w:vAlign w:val="center"/>
            <w:textDirection w:val="lrTb"/>
            <w:noWrap w:val="false"/>
          </w:tcPr>
          <w:p>
            <w:pPr>
              <w:pStyle w:val="809"/>
              <w:ind w:firstLine="28"/>
              <w:jc w:val="center"/>
              <w:spacing w:line="360" w:lineRule="auto"/>
              <w:rPr>
                <w:color w:val="000000"/>
                <w:sz w:val="24"/>
                <w:highlight w:val="none"/>
              </w:rPr>
            </w:pPr>
            <w:r>
              <w:rPr>
                <w:color w:val="000000"/>
                <w:sz w:val="24"/>
                <w:highlight w:val="none"/>
              </w:rPr>
              <w:t xml:space="preserve">100</w:t>
            </w:r>
            <w:r>
              <w:rPr>
                <w:color w:val="000000"/>
                <w:sz w:val="24"/>
                <w:highlight w:val="none"/>
              </w:rPr>
            </w:r>
            <w:r/>
          </w:p>
        </w:tc>
        <w:tc>
          <w:tcPr>
            <w:gridSpan w:val="2"/>
            <w:tcW w:w="6418" w:type="dxa"/>
            <w:vAlign w:val="center"/>
            <w:textDirection w:val="lrTb"/>
            <w:noWrap w:val="false"/>
          </w:tcPr>
          <w:p>
            <w:pPr>
              <w:pStyle w:val="809"/>
              <w:spacing w:line="360" w:lineRule="auto"/>
              <w:rPr>
                <w:color w:val="000000"/>
                <w:sz w:val="24"/>
                <w:highlight w:val="none"/>
              </w:rPr>
            </w:pPr>
            <w:r>
              <w:rPr>
                <w:color w:val="000000"/>
                <w:sz w:val="24"/>
                <w:highlight w:val="none"/>
              </w:rPr>
            </w:r>
            <w:r/>
          </w:p>
        </w:tc>
      </w:tr>
    </w:tbl>
    <w:p>
      <w:pPr>
        <w:pStyle w:val="809"/>
        <w:spacing w:line="360" w:lineRule="auto"/>
        <w:tabs>
          <w:tab w:val="left" w:pos="360" w:leader="none"/>
          <w:tab w:val="left" w:pos="1080" w:leader="none"/>
        </w:tabs>
        <w:rPr>
          <w:color w:val="000000"/>
          <w:sz w:val="24"/>
          <w:highlight w:val="none"/>
        </w:rPr>
      </w:pPr>
      <w:r>
        <w:rPr>
          <w:color w:val="000000"/>
          <w:sz w:val="24"/>
          <w:highlight w:val="none"/>
        </w:rPr>
      </w:r>
      <w:r/>
    </w:p>
    <w:p>
      <w:pPr>
        <w:pStyle w:val="809"/>
        <w:jc w:val="center"/>
        <w:widowControl/>
        <w:rPr>
          <w:b/>
          <w:color w:val="000000"/>
          <w:sz w:val="36"/>
          <w:szCs w:val="36"/>
          <w:highlight w:val="none"/>
        </w:rPr>
      </w:pPr>
      <w:r>
        <w:rPr>
          <w:b/>
          <w:color w:val="000000"/>
          <w:sz w:val="36"/>
          <w:szCs w:val="36"/>
          <w:highlight w:val="none"/>
        </w:rPr>
        <w:br w:type="page" w:clear="all"/>
      </w:r>
      <w:bookmarkStart w:id="669" w:name="_Toc104818928"/>
      <w:r>
        <w:rPr>
          <w:b/>
          <w:color w:val="000000"/>
          <w:sz w:val="36"/>
          <w:szCs w:val="36"/>
          <w:highlight w:val="none"/>
        </w:rPr>
        <w:t xml:space="preserve">第四章   采购需求</w:t>
      </w:r>
      <w:bookmarkEnd w:id="669"/>
      <w:r>
        <w:rPr>
          <w:b/>
          <w:color w:val="000000"/>
          <w:sz w:val="36"/>
          <w:szCs w:val="36"/>
          <w:highlight w:val="none"/>
        </w:rPr>
      </w:r>
      <w:r/>
    </w:p>
    <w:p>
      <w:pPr>
        <w:pStyle w:val="809"/>
        <w:spacing w:line="360" w:lineRule="auto"/>
        <w:rPr>
          <w:rFonts w:ascii="宋体" w:hAnsi="宋体"/>
          <w:b/>
          <w:bCs/>
          <w:color w:val="000000"/>
          <w:sz w:val="24"/>
          <w:highlight w:val="none"/>
        </w:rPr>
        <w:outlineLvl w:val="1"/>
      </w:pPr>
      <w:r/>
      <w:bookmarkStart w:id="670" w:name="_Toc128057692"/>
      <w:r/>
      <w:bookmarkStart w:id="671" w:name="_Toc129694578"/>
      <w:r>
        <w:rPr>
          <w:rFonts w:hint="eastAsia" w:ascii="宋体" w:hAnsi="宋体"/>
          <w:b/>
          <w:bCs/>
          <w:color w:val="000000"/>
          <w:sz w:val="24"/>
          <w:highlight w:val="none"/>
        </w:rPr>
        <w:t xml:space="preserve">一、项目概况：</w:t>
      </w:r>
      <w:bookmarkEnd w:id="670"/>
      <w:r/>
      <w:bookmarkEnd w:id="671"/>
      <w:r>
        <w:rPr>
          <w:rFonts w:ascii="宋体" w:hAnsi="宋体"/>
          <w:b/>
          <w:bCs/>
          <w:color w:val="000000"/>
          <w:sz w:val="24"/>
          <w:highlight w:val="none"/>
        </w:rPr>
      </w:r>
      <w:r/>
    </w:p>
    <w:p>
      <w:pPr>
        <w:pStyle w:val="8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优先监管地块重点监测项目</w:t>
      </w:r>
      <w:r>
        <w:rPr>
          <w:rFonts w:hint="eastAsia" w:ascii="宋体" w:hAnsi="宋体"/>
          <w:color w:val="000000"/>
          <w:sz w:val="24"/>
          <w:highlight w:val="none"/>
        </w:rPr>
        <w:t xml:space="preserve">。</w:t>
      </w:r>
      <w:r>
        <w:rPr>
          <w:rFonts w:ascii="宋体" w:hAnsi="宋体"/>
          <w:color w:val="000000"/>
          <w:sz w:val="24"/>
          <w:highlight w:val="none"/>
        </w:rPr>
      </w:r>
      <w:r/>
    </w:p>
    <w:p>
      <w:pPr>
        <w:pStyle w:val="809"/>
        <w:numPr>
          <w:ilvl w:val="0"/>
          <w:numId w:val="12"/>
        </w:numPr>
        <w:spacing w:line="360" w:lineRule="auto"/>
        <w:rPr>
          <w:rFonts w:hint="eastAsia" w:eastAsia="宋体"/>
          <w:color w:val="000000"/>
          <w:sz w:val="24"/>
          <w:highlight w:val="none"/>
          <w:lang w:eastAsia="zh-CN"/>
        </w:rPr>
      </w:pPr>
      <w:r>
        <w:rPr>
          <w:rFonts w:hint="eastAsia" w:ascii="宋体" w:hAnsi="宋体"/>
          <w:color w:val="000000"/>
          <w:sz w:val="24"/>
          <w:highlight w:val="none"/>
          <w:lang w:val="en-US" w:eastAsia="zh-CN"/>
        </w:rPr>
        <w:t xml:space="preserve">根据《优先监管地块土壤污染管控工作指南》的相关要求，</w:t>
      </w:r>
      <w:r>
        <w:rPr>
          <w:rFonts w:hint="eastAsia" w:ascii="宋体" w:hAnsi="宋体" w:cs="宋体"/>
          <w:color w:val="000000"/>
          <w:sz w:val="24"/>
          <w:highlight w:val="none"/>
        </w:rPr>
        <w:t xml:space="preserve">主要工作内容包括：基础信息调查、点位布设、样品采集与流转、检测指标确定、结果评估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信息填报</w:t>
      </w:r>
      <w:r>
        <w:rPr>
          <w:rFonts w:hint="eastAsia" w:ascii="宋体" w:hAnsi="宋体" w:cs="宋体"/>
          <w:color w:val="000000"/>
          <w:sz w:val="24"/>
          <w:highlight w:val="none"/>
        </w:rPr>
        <w:t xml:space="preserve">等</w:t>
      </w:r>
      <w:r>
        <w:rPr>
          <w:rFonts w:hint="eastAsia" w:ascii="宋体" w:hAnsi="宋体" w:cs="宋体"/>
          <w:color w:val="000000"/>
          <w:sz w:val="24"/>
          <w:highlight w:val="none"/>
          <w:lang w:eastAsia="zh-CN"/>
        </w:rPr>
        <w:t xml:space="preserve">。</w:t>
      </w:r>
      <w:r>
        <w:rPr>
          <w:rFonts w:hint="eastAsia" w:eastAsia="宋体"/>
          <w:color w:val="000000"/>
          <w:sz w:val="24"/>
          <w:highlight w:val="none"/>
          <w:lang w:eastAsia="zh-CN"/>
        </w:rPr>
      </w:r>
      <w:r/>
    </w:p>
    <w:p>
      <w:pPr>
        <w:pStyle w:val="809"/>
        <w:numPr>
          <w:ilvl w:val="0"/>
          <w:numId w:val="12"/>
        </w:numPr>
        <w:spacing w:line="360" w:lineRule="auto"/>
        <w:rPr>
          <w:rFonts w:hint="eastAsia" w:eastAsia="宋体"/>
          <w:color w:val="000000"/>
          <w:sz w:val="24"/>
          <w:highlight w:val="none"/>
          <w:lang w:eastAsia="zh-CN"/>
        </w:rPr>
      </w:pPr>
      <w:r>
        <w:rPr>
          <w:rFonts w:hint="eastAsia"/>
          <w:color w:val="000000"/>
          <w:sz w:val="24"/>
          <w:highlight w:val="none"/>
        </w:rPr>
        <w:t xml:space="preserve">项目预算金额：人民币1</w:t>
      </w:r>
      <w:r>
        <w:rPr>
          <w:rFonts w:hint="eastAsia"/>
          <w:color w:val="000000"/>
          <w:sz w:val="24"/>
          <w:highlight w:val="none"/>
          <w:lang w:val="en-US" w:eastAsia="zh-CN"/>
        </w:rPr>
        <w:t xml:space="preserve">70</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单价5万元/地块</w:t>
      </w:r>
      <w:r>
        <w:rPr>
          <w:rFonts w:hint="eastAsia"/>
          <w:color w:val="000000"/>
          <w:sz w:val="24"/>
          <w:highlight w:val="none"/>
        </w:rPr>
        <w:t xml:space="preserve">。其中一</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万元；二</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60</w:t>
      </w:r>
      <w:r>
        <w:rPr>
          <w:rFonts w:hint="eastAsia"/>
          <w:color w:val="000000"/>
          <w:sz w:val="24"/>
          <w:highlight w:val="none"/>
        </w:rPr>
        <w:t xml:space="preserve">万元；三</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809"/>
        <w:ind w:firstLine="480"/>
        <w:spacing w:line="360" w:lineRule="auto"/>
        <w:rPr>
          <w:rFonts w:hint="eastAsia" w:eastAsia="宋体"/>
          <w:color w:val="000000"/>
          <w:sz w:val="24"/>
          <w:highlight w:val="none"/>
          <w:lang w:eastAsia="zh-CN"/>
        </w:rPr>
      </w:pPr>
      <w:r>
        <w:rPr>
          <w:rFonts w:hint="eastAsia"/>
          <w:color w:val="000000"/>
          <w:sz w:val="24"/>
          <w:highlight w:val="none"/>
        </w:rPr>
        <w:t xml:space="preserve">项目最高限价：人民币1</w:t>
      </w:r>
      <w:r>
        <w:rPr>
          <w:rFonts w:hint="eastAsia"/>
          <w:color w:val="000000"/>
          <w:sz w:val="24"/>
          <w:highlight w:val="none"/>
          <w:lang w:val="en-US" w:eastAsia="zh-CN"/>
        </w:rPr>
        <w:t xml:space="preserve">70</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单价5万元/地块</w:t>
      </w:r>
      <w:r>
        <w:rPr>
          <w:rFonts w:hint="eastAsia"/>
          <w:color w:val="000000"/>
          <w:sz w:val="24"/>
          <w:highlight w:val="none"/>
        </w:rPr>
        <w:t xml:space="preserve">。其中一</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万元；二</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60</w:t>
      </w:r>
      <w:r>
        <w:rPr>
          <w:rFonts w:hint="eastAsia"/>
          <w:color w:val="000000"/>
          <w:sz w:val="24"/>
          <w:highlight w:val="none"/>
        </w:rPr>
        <w:t xml:space="preserve">万元；三</w:t>
      </w:r>
      <w:r>
        <w:rPr>
          <w:rFonts w:hint="eastAsia"/>
          <w:color w:val="000000"/>
          <w:sz w:val="24"/>
          <w:highlight w:val="none"/>
          <w:lang w:val="en-US" w:eastAsia="zh-CN"/>
        </w:rPr>
        <w:t xml:space="preserve">标段</w:t>
      </w:r>
      <w:r>
        <w:rPr>
          <w:rFonts w:hint="eastAsia"/>
          <w:color w:val="000000"/>
          <w:sz w:val="24"/>
          <w:highlight w:val="none"/>
        </w:rPr>
        <w:t xml:space="preserve">：</w:t>
      </w:r>
      <w:r>
        <w:rPr>
          <w:rFonts w:hint="eastAsia"/>
          <w:color w:val="000000"/>
          <w:sz w:val="24"/>
          <w:highlight w:val="none"/>
          <w:lang w:val="en-US" w:eastAsia="zh-CN"/>
        </w:rPr>
        <w:t xml:space="preserve">55</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809"/>
        <w:jc w:val="left"/>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标段</w:t>
      </w:r>
      <w:r>
        <w:rPr>
          <w:rFonts w:hint="eastAsia" w:ascii="宋体" w:hAnsi="宋体" w:cs="宋体"/>
          <w:bCs/>
          <w:color w:val="000000"/>
          <w:sz w:val="24"/>
          <w:highlight w:val="none"/>
        </w:rPr>
        <w:t xml:space="preserve">划分：</w:t>
      </w:r>
      <w:r>
        <w:rPr>
          <w:rFonts w:hint="eastAsia" w:ascii="宋体" w:hAnsi="宋体"/>
          <w:color w:val="000000"/>
          <w:sz w:val="24"/>
          <w:highlight w:val="none"/>
        </w:rPr>
        <w:t xml:space="preserve">本项目共分</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标段</w:t>
      </w:r>
      <w:r>
        <w:rPr>
          <w:rFonts w:hint="eastAsia" w:ascii="宋体" w:hAnsi="宋体"/>
          <w:color w:val="000000"/>
          <w:sz w:val="24"/>
          <w:highlight w:val="none"/>
        </w:rPr>
        <w:t xml:space="preserve">，每个供应商可以同时投</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标段</w:t>
      </w:r>
      <w:r>
        <w:rPr>
          <w:rFonts w:hint="eastAsia" w:ascii="宋体" w:hAnsi="宋体"/>
          <w:color w:val="000000"/>
          <w:sz w:val="24"/>
          <w:highlight w:val="none"/>
        </w:rPr>
        <w:t xml:space="preserve">，但最多只能中1个</w:t>
      </w:r>
      <w:r>
        <w:rPr>
          <w:rFonts w:hint="eastAsia" w:ascii="宋体" w:hAnsi="宋体"/>
          <w:color w:val="000000"/>
          <w:sz w:val="24"/>
          <w:highlight w:val="none"/>
          <w:lang w:val="en-US" w:eastAsia="zh-CN"/>
        </w:rPr>
        <w:t xml:space="preserve">标段</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9"/>
        <w:jc w:val="left"/>
        <w:spacing w:line="360" w:lineRule="auto"/>
        <w:rPr>
          <w:rFonts w:ascii="宋体" w:hAnsi="宋体" w:cs="宋体"/>
          <w:bCs/>
          <w:color w:val="000000"/>
          <w:sz w:val="24"/>
          <w:highlight w:val="none"/>
        </w:rPr>
      </w:pPr>
      <w:r>
        <w:rPr>
          <w:rFonts w:hint="eastAsia" w:ascii="宋体" w:hAnsi="宋体"/>
          <w:color w:val="000000"/>
          <w:sz w:val="24"/>
          <w:highlight w:val="none"/>
          <w:lang w:val="en-US" w:eastAsia="zh-CN"/>
        </w:rPr>
        <w:t xml:space="preserve">标段</w:t>
      </w:r>
      <w:r>
        <w:rPr>
          <w:rFonts w:hint="eastAsia" w:ascii="宋体" w:hAnsi="宋体" w:cs="宋体"/>
          <w:bCs/>
          <w:color w:val="000000"/>
          <w:sz w:val="24"/>
          <w:highlight w:val="none"/>
        </w:rPr>
        <w:t xml:space="preserve">具体划分如下：</w:t>
      </w:r>
      <w:r>
        <w:rPr>
          <w:rFonts w:ascii="宋体" w:hAnsi="宋体" w:cs="宋体"/>
          <w:bCs/>
          <w:color w:val="000000"/>
          <w:sz w:val="24"/>
          <w:highlight w:val="none"/>
        </w:rPr>
      </w:r>
      <w:r/>
    </w:p>
    <w:tbl>
      <w:tblPr>
        <w:tblW w:w="892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915"/>
        <w:gridCol w:w="1559"/>
        <w:gridCol w:w="2266"/>
      </w:tblGrid>
      <w:tr>
        <w:trPr>
          <w:trHeight w:val="285"/>
        </w:trPr>
        <w:tc>
          <w:tcPr>
            <w:tcW w:w="1189" w:type="dxa"/>
            <w:vAlign w:val="center"/>
            <w:vMerge w:val="restart"/>
            <w:textDirection w:val="lrTb"/>
            <w:noWrap w:val="false"/>
          </w:tcPr>
          <w:p>
            <w:pPr>
              <w:pStyle w:val="809"/>
              <w:jc w:val="center"/>
              <w:widowControl/>
              <w:rPr>
                <w:rFonts w:hint="eastAsia" w:ascii="宋体" w:hAnsi="宋体" w:eastAsia="宋体" w:cs="宋体"/>
                <w:color w:val="000000"/>
                <w:sz w:val="24"/>
                <w:highlight w:val="none"/>
                <w:lang w:eastAsia="zh-CN"/>
              </w:rPr>
            </w:pPr>
            <w:r/>
            <w:bookmarkStart w:id="672" w:name="_TOC_250021"/>
            <w:r>
              <w:rPr>
                <w:rFonts w:hint="eastAsia" w:ascii="宋体" w:hAnsi="宋体" w:cs="宋体"/>
                <w:color w:val="000000"/>
                <w:sz w:val="24"/>
                <w:highlight w:val="none"/>
                <w:lang w:eastAsia="zh-CN"/>
              </w:rPr>
              <w:t xml:space="preserve">标段</w:t>
            </w:r>
            <w:r>
              <w:rPr>
                <w:rFonts w:hint="eastAsia" w:ascii="宋体" w:hAnsi="宋体" w:eastAsia="宋体" w:cs="宋体"/>
                <w:color w:val="000000"/>
                <w:sz w:val="24"/>
                <w:highlight w:val="none"/>
                <w:lang w:eastAsia="zh-CN"/>
              </w:rPr>
            </w:r>
            <w:r/>
          </w:p>
        </w:tc>
        <w:tc>
          <w:tcPr>
            <w:tcW w:w="3915" w:type="dxa"/>
            <w:vAlign w:val="center"/>
            <w:vMerge w:val="restart"/>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乡镇（地区）</w:t>
            </w:r>
            <w:r>
              <w:rPr>
                <w:rFonts w:ascii="宋体" w:hAnsi="宋体" w:cs="宋体"/>
                <w:color w:val="000000"/>
                <w:sz w:val="24"/>
                <w:highlight w:val="none"/>
              </w:rPr>
            </w:r>
            <w:r/>
          </w:p>
        </w:tc>
        <w:tc>
          <w:tcPr>
            <w:tcW w:w="1559" w:type="dxa"/>
            <w:vAlign w:val="center"/>
            <w:vMerge w:val="restart"/>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地块</w:t>
            </w: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W w:w="2266"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预估金额</w:t>
            </w:r>
            <w:r>
              <w:rPr>
                <w:rFonts w:ascii="宋体" w:hAnsi="宋体" w:cs="宋体"/>
                <w:color w:val="000000"/>
                <w:sz w:val="24"/>
                <w:highlight w:val="none"/>
              </w:rPr>
            </w:r>
            <w:r/>
          </w:p>
        </w:tc>
      </w:tr>
      <w:tr>
        <w:trPr>
          <w:trHeight w:val="285"/>
        </w:trPr>
        <w:tc>
          <w:tcPr>
            <w:tcW w:w="1189"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3915"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1559" w:type="dxa"/>
            <w:vAlign w:val="center"/>
            <w:vMerge w:val="continue"/>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2266"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trHeight w:val="570"/>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w:t>
            </w:r>
            <w:r>
              <w:rPr>
                <w:rFonts w:hint="eastAsia" w:ascii="宋体" w:hAnsi="宋体" w:cs="宋体"/>
                <w:color w:val="000000"/>
                <w:sz w:val="24"/>
                <w:highlight w:val="none"/>
              </w:rPr>
              <w:t xml:space="preserve">一</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溧城街道、埭头镇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55</w:t>
            </w:r>
            <w:r>
              <w:rPr>
                <w:rFonts w:ascii="宋体" w:hAnsi="宋体" w:eastAsia="宋体" w:cs="宋体"/>
                <w:color w:val="000000"/>
                <w:sz w:val="24"/>
                <w:highlight w:val="none"/>
                <w:lang w:val="en-US" w:eastAsia="zh-CN"/>
              </w:rPr>
            </w:r>
            <w:r/>
          </w:p>
        </w:tc>
      </w:tr>
      <w:tr>
        <w:trPr>
          <w:trHeight w:val="570"/>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w:t>
            </w:r>
            <w:r>
              <w:rPr>
                <w:rFonts w:hint="eastAsia" w:ascii="宋体" w:hAnsi="宋体" w:cs="宋体"/>
                <w:color w:val="000000"/>
                <w:sz w:val="24"/>
                <w:highlight w:val="none"/>
              </w:rPr>
              <w:t xml:space="preserve">二</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高新区、别桥镇、戴埠镇、经开区、社渚镇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60</w:t>
            </w:r>
            <w:r>
              <w:rPr>
                <w:rFonts w:ascii="宋体" w:hAnsi="宋体" w:eastAsia="宋体" w:cs="宋体"/>
                <w:color w:val="000000"/>
                <w:sz w:val="24"/>
                <w:highlight w:val="none"/>
                <w:lang w:val="en-US" w:eastAsia="zh-CN"/>
              </w:rPr>
            </w:r>
            <w:r/>
          </w:p>
        </w:tc>
      </w:tr>
      <w:tr>
        <w:trPr>
          <w:trHeight w:val="285"/>
        </w:trPr>
        <w:tc>
          <w:tcPr>
            <w:tcW w:w="1189" w:type="dxa"/>
            <w:vAlign w:val="center"/>
            <w:textDirection w:val="lrTb"/>
            <w:noWrap w:val="false"/>
          </w:tcPr>
          <w:p>
            <w:pPr>
              <w:pStyle w:val="809"/>
              <w:jc w:val="center"/>
              <w:widowControl/>
              <w:rPr>
                <w:rFonts w:ascii="宋体" w:hAnsi="宋体" w:cs="宋体"/>
                <w:color w:val="000000"/>
                <w:sz w:val="24"/>
                <w:highlight w:val="none"/>
              </w:rPr>
            </w:pPr>
            <w:r>
              <w:rPr>
                <w:rFonts w:hint="eastAsia" w:ascii="宋体" w:hAnsi="宋体" w:cs="宋体"/>
                <w:color w:val="000000"/>
                <w:sz w:val="24"/>
                <w:highlight w:val="none"/>
              </w:rPr>
              <w:t xml:space="preserve">优先监管地块重点监测项目</w:t>
            </w:r>
            <w:r>
              <w:rPr>
                <w:rFonts w:hint="eastAsia" w:ascii="宋体" w:hAnsi="宋体" w:cs="宋体"/>
                <w:color w:val="000000"/>
                <w:sz w:val="24"/>
                <w:highlight w:val="none"/>
              </w:rPr>
              <w:t xml:space="preserve">三</w:t>
            </w:r>
            <w:r>
              <w:rPr>
                <w:rFonts w:hint="eastAsia" w:ascii="宋体" w:hAnsi="宋体"/>
                <w:color w:val="000000"/>
                <w:sz w:val="24"/>
                <w:highlight w:val="none"/>
                <w:lang w:val="en-US" w:eastAsia="zh-CN"/>
              </w:rPr>
              <w:t xml:space="preserve">标段</w:t>
            </w:r>
            <w:r>
              <w:rPr>
                <w:rFonts w:ascii="宋体" w:hAnsi="宋体" w:cs="宋体"/>
                <w:color w:val="000000"/>
                <w:sz w:val="24"/>
                <w:highlight w:val="none"/>
              </w:rPr>
            </w:r>
            <w:r/>
          </w:p>
        </w:tc>
        <w:tc>
          <w:tcPr>
            <w:tcW w:w="3915"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南渡镇、竹箦镇</w:t>
            </w:r>
            <w:r>
              <w:rPr>
                <w:rFonts w:ascii="宋体" w:hAnsi="宋体" w:eastAsia="宋体" w:cs="宋体"/>
                <w:color w:val="000000"/>
                <w:sz w:val="24"/>
                <w:highlight w:val="none"/>
                <w:lang w:val="en-US" w:eastAsia="zh-CN"/>
              </w:rPr>
            </w:r>
            <w:r/>
          </w:p>
        </w:tc>
        <w:tc>
          <w:tcPr>
            <w:tcW w:w="1559"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55</w:t>
            </w:r>
            <w:r>
              <w:rPr>
                <w:rFonts w:ascii="宋体" w:hAnsi="宋体" w:cs="宋体"/>
                <w:color w:val="000000"/>
                <w:sz w:val="24"/>
                <w:highlight w:val="none"/>
                <w:lang w:val="en-US" w:eastAsia="zh-CN"/>
              </w:rPr>
            </w:r>
            <w:r/>
          </w:p>
        </w:tc>
      </w:tr>
      <w:tr>
        <w:trPr>
          <w:trHeight w:val="285"/>
        </w:trPr>
        <w:tc>
          <w:tcPr>
            <w:gridSpan w:val="3"/>
            <w:tcW w:w="6663"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合计</w:t>
            </w:r>
            <w:r>
              <w:rPr>
                <w:rFonts w:ascii="宋体" w:hAnsi="宋体" w:cs="宋体"/>
                <w:color w:val="000000"/>
                <w:sz w:val="24"/>
                <w:highlight w:val="none"/>
                <w:lang w:val="en-US" w:eastAsia="zh-CN"/>
              </w:rPr>
            </w:r>
            <w:r/>
          </w:p>
        </w:tc>
        <w:tc>
          <w:tcPr>
            <w:tcW w:w="2266"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170</w:t>
            </w:r>
            <w:r>
              <w:rPr>
                <w:rFonts w:ascii="宋体" w:hAnsi="宋体" w:cs="宋体"/>
                <w:color w:val="000000"/>
                <w:sz w:val="24"/>
                <w:highlight w:val="none"/>
                <w:lang w:val="en-US" w:eastAsia="zh-CN"/>
              </w:rPr>
            </w:r>
            <w:r/>
          </w:p>
        </w:tc>
      </w:tr>
    </w:tbl>
    <w:p>
      <w:pPr>
        <w:pStyle w:val="809"/>
        <w:ind w:firstLine="420"/>
        <w:jc w:val="left"/>
        <w:spacing w:line="360" w:lineRule="auto"/>
        <w:rPr>
          <w:rFonts w:ascii="宋体" w:hAnsi="宋体"/>
          <w:color w:val="000000"/>
          <w:szCs w:val="21"/>
          <w:highlight w:val="none"/>
        </w:rPr>
      </w:pPr>
      <w:r>
        <w:rPr>
          <w:rFonts w:ascii="宋体" w:hAnsi="宋体"/>
          <w:color w:val="000000"/>
          <w:szCs w:val="21"/>
          <w:highlight w:val="none"/>
        </w:rPr>
      </w:r>
      <w:r/>
    </w:p>
    <w:tbl>
      <w:tblPr>
        <w:tblStyle w:val="881"/>
        <w:tblW w:w="105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750"/>
        <w:gridCol w:w="4368"/>
        <w:gridCol w:w="1238"/>
        <w:gridCol w:w="3438"/>
      </w:tblGrid>
      <w:tr>
        <w:trPr/>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标段</w:t>
            </w:r>
            <w:r>
              <w:rPr>
                <w:rFonts w:hint="eastAsia" w:ascii="Times New Roman" w:hAnsi="Times New Roman" w:eastAsia="仿宋_GB2312" w:cs="Times New Roman"/>
                <w:b/>
                <w:bCs/>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序号</w:t>
            </w:r>
            <w:r>
              <w:rPr>
                <w:rFonts w:hint="eastAsia" w:ascii="Times New Roman" w:hAnsi="Times New Roman" w:eastAsia="仿宋_GB2312" w:cs="Times New Roman"/>
                <w:b/>
                <w:bCs/>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地块名称</w:t>
            </w:r>
            <w:r>
              <w:rPr>
                <w:rFonts w:ascii="Times New Roman" w:hAnsi="Times New Roman" w:eastAsia="仿宋_GB2312" w:cs="Times New Roman"/>
                <w:b/>
                <w:bCs/>
                <w:color w:val="000000"/>
                <w:sz w:val="24"/>
                <w:szCs w:val="24"/>
                <w:highlight w:val="none"/>
                <w:vertAlign w:val="baseline"/>
                <w:lang w:val="en-US" w:eastAsia="zh-CN"/>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所属板块</w:t>
            </w:r>
            <w:r>
              <w:rPr>
                <w:rFonts w:hint="eastAsia" w:ascii="Times New Roman" w:hAnsi="Times New Roman" w:eastAsia="仿宋_GB2312" w:cs="Times New Roman"/>
                <w:b/>
                <w:bCs/>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行业类别</w:t>
            </w:r>
            <w:r>
              <w:rPr>
                <w:rFonts w:hint="eastAsia" w:ascii="Times New Roman" w:hAnsi="Times New Roman" w:eastAsia="仿宋_GB2312" w:cs="Times New Roman"/>
                <w:b/>
                <w:bCs/>
                <w:color w:val="000000"/>
                <w:sz w:val="24"/>
                <w:szCs w:val="24"/>
                <w:highlight w:val="none"/>
                <w:vertAlign w:val="baseline"/>
                <w:lang w:val="en-US" w:eastAsia="zh-CN"/>
              </w:rPr>
            </w:r>
            <w:r/>
          </w:p>
        </w:tc>
      </w:tr>
      <w:tr>
        <w:trPr/>
        <w:tc>
          <w:tcPr>
            <w:tcW w:w="750" w:type="dxa"/>
            <w:vAlign w:val="center"/>
            <w:vMerge w:val="restart"/>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一</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标</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段</w:t>
            </w: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w:t>
            </w:r>
            <w:r>
              <w:rPr>
                <w:rFonts w:hint="eastAsia"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ascii="Times New Roman" w:hAnsi="Times New Roman" w:eastAsia="仿宋_GB2312" w:cs="Times New Roman"/>
                <w:color w:val="000000"/>
                <w:sz w:val="24"/>
                <w:szCs w:val="24"/>
                <w:highlight w:val="none"/>
                <w:vertAlign w:val="baseline"/>
              </w:rPr>
              <w:t xml:space="preserve">江苏天容集团股份有限公司</w:t>
            </w:r>
            <w:r>
              <w:rPr>
                <w:rFonts w:hint="eastAsia" w:ascii="Times New Roman" w:hAnsi="Times New Roman" w:eastAsia="仿宋_GB2312" w:cs="Times New Roman"/>
                <w:color w:val="000000"/>
                <w:sz w:val="24"/>
                <w:szCs w:val="24"/>
                <w:highlight w:val="none"/>
                <w:vertAlign w:val="baseline"/>
                <w:lang w:val="en-US" w:eastAsia="zh-CN"/>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化学药品原料药制造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w:t>
            </w:r>
            <w:r>
              <w:rPr>
                <w:rFonts w:hint="eastAsia"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ascii="Times New Roman" w:hAnsi="Times New Roman" w:eastAsia="仿宋_GB2312" w:cs="Times New Roman"/>
                <w:color w:val="000000"/>
                <w:sz w:val="24"/>
                <w:szCs w:val="24"/>
                <w:highlight w:val="none"/>
                <w:vertAlign w:val="baseline"/>
              </w:rPr>
              <w:t xml:space="preserve">溧阳龙沙化工有限公司</w:t>
            </w:r>
            <w:r>
              <w:rPr>
                <w:rFonts w:hint="eastAsia" w:ascii="Times New Roman" w:hAnsi="Times New Roman" w:eastAsia="仿宋_GB2312" w:cs="Times New Roman"/>
                <w:color w:val="000000"/>
                <w:sz w:val="24"/>
                <w:szCs w:val="24"/>
                <w:highlight w:val="none"/>
                <w:vertAlign w:val="baseline"/>
                <w:lang w:val="en-US" w:eastAsia="zh-CN"/>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w:t>
            </w:r>
            <w:r>
              <w:rPr>
                <w:rFonts w:hint="eastAsia"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溧阳市新球农药化工有限公司地块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化学农药制造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4</w:t>
            </w:r>
            <w:r>
              <w:rPr>
                <w:rFonts w:hint="eastAsia"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原溧阳市光源工贸有限公司地块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专项化学用品制造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5</w:t>
            </w:r>
            <w:r>
              <w:rPr>
                <w:rFonts w:hint="eastAsia"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原溧阳市三鑫电镀有限公司地块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金属表面处理及热处理加工</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6</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原溧阳市新兴化工塑料有限公司地块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无机盐制造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7</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原溧阳市信益铸件喷镀厂地块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其他金属工具制造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8</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原溧阳市综合化工厂地块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溧城街道</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化学试剂和助剂制造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9</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溧阳市中大建材有限公司</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埭头镇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金属表面处理及热处理加工</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10</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星科电工机械厂和三联粘结剂厂地块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埭头镇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涂料制造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11</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原溧阳市云峰化工有限公司地块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埭头镇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restart"/>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二</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标</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段</w:t>
            </w: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12</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溧阳市华盛染整有限公司</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化纤织物染整精加工</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13</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溧阳市天长贵金属化工有限公司原厂址地块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其他贵金属冶炼</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14</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原溧阳市达灿溶剂有限公司地块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化学试剂和助剂制造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15</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原溧阳市禾峰化学有限公司地块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其他基础化学原料制造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16</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原溧阳市蒋店化工有限公司地块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17</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原溧阳市昆仑生物科技有限公司</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高新区</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18</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溧阳市金联树脂有限公司</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别桥镇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初级形态塑料及合成树脂制造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19</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原溧阳市华邦高分子材料有限公司地块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别桥镇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20</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原溧阳市有机合成化工厂地块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戴埠镇</w:t>
            </w:r>
            <w:r>
              <w:rPr>
                <w:rFonts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21</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原溧阳市永和福利化工厂地块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经开区</w:t>
            </w:r>
            <w:r>
              <w:rPr>
                <w:rFonts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其他基础化学原料制造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22</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原溧阳市分界电镀厂地块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经开区</w:t>
            </w:r>
            <w:r>
              <w:rPr>
                <w:rFonts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金属表面处理及热处理加工</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23</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溧阳市永安废塑料回收加工厂</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社渚镇</w:t>
            </w:r>
            <w:r>
              <w:rPr>
                <w:rFonts w:hint="eastAsia"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再生物资回收与批发</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restart"/>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三</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b/>
                <w:bCs/>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标</w:t>
            </w:r>
            <w:r>
              <w:rPr>
                <w:rFonts w:hint="eastAsia" w:ascii="Times New Roman" w:hAnsi="Times New Roman" w:eastAsia="仿宋_GB2312" w:cs="Times New Roman"/>
                <w:b/>
                <w:bCs/>
                <w:color w:val="000000"/>
                <w:sz w:val="24"/>
                <w:szCs w:val="24"/>
                <w:highlight w:val="none"/>
                <w:vertAlign w:val="baseline"/>
                <w:lang w:val="en-US" w:eastAsia="zh-CN"/>
              </w:rPr>
            </w:r>
            <w:r/>
          </w:p>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b/>
                <w:bCs/>
                <w:color w:val="000000"/>
                <w:sz w:val="24"/>
                <w:szCs w:val="24"/>
                <w:highlight w:val="none"/>
                <w:vertAlign w:val="baseline"/>
                <w:lang w:val="en-US" w:eastAsia="zh-CN"/>
              </w:rPr>
              <w:t xml:space="preserve">段</w:t>
            </w: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24</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溧阳市富塑化工厂原厂址地块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rPr>
              <w:t xml:space="preserve">专项化学用品制造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25</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原江苏弘博新材料有限公司地块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26</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原溧阳市丰耀化工有限公司地块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专项化学用品制造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27</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原溧阳市富民化工有限公司地块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化学试剂和助剂制造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28</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原溧阳市衡达化工厂地块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专项化学用品制造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29</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原溧阳市庆丰精细化工有限公司地块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有机化学原料制造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30</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原溧阳市双峰化工厂地块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化学试剂和助剂制造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31</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lang w:val="en-US" w:eastAsia="zh-CN" w:bidi="ar-SA"/>
              </w:rPr>
              <w:t xml:space="preserve">原溧阳市天伦化工厂地块</w:t>
            </w:r>
            <w:r>
              <w:rPr>
                <w:rFonts w:ascii="Times New Roman" w:hAnsi="Times New Roman" w:eastAsia="仿宋_GB2312" w:cs="Times New Roman"/>
                <w:color w:val="000000"/>
                <w:sz w:val="24"/>
                <w:szCs w:val="24"/>
                <w:highlight w:val="none"/>
                <w:vertAlign w:val="baseline"/>
                <w:lang w:val="en-US" w:eastAsia="zh-CN" w:bidi="ar-SA"/>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lang w:val="en-US" w:eastAsia="zh-CN" w:bidi="ar-SA"/>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bidi="ar-SA"/>
              </w:rPr>
            </w:pPr>
            <w:r>
              <w:rPr>
                <w:rFonts w:ascii="Times New Roman" w:hAnsi="Times New Roman" w:eastAsia="仿宋_GB2312" w:cs="Times New Roman"/>
                <w:color w:val="000000"/>
                <w:sz w:val="24"/>
                <w:szCs w:val="24"/>
                <w:highlight w:val="none"/>
                <w:vertAlign w:val="baseline"/>
                <w:lang w:val="en-US" w:eastAsia="zh-CN" w:bidi="ar-SA"/>
              </w:rPr>
              <w:t xml:space="preserve">化学试剂和助剂制造</w:t>
            </w:r>
            <w:r>
              <w:rPr>
                <w:rFonts w:ascii="Times New Roman" w:hAnsi="Times New Roman" w:eastAsia="仿宋_GB2312" w:cs="Times New Roman"/>
                <w:color w:val="000000"/>
                <w:sz w:val="24"/>
                <w:szCs w:val="24"/>
                <w:highlight w:val="none"/>
                <w:vertAlign w:val="baseline"/>
                <w:lang w:val="en-US" w:eastAsia="zh-CN" w:bidi="ar-SA"/>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32</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原溧阳市溪佳塑料助剂厂地块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ascii="Times New Roman" w:hAnsi="Times New Roman" w:eastAsia="仿宋_GB2312" w:cs="Times New Roman"/>
                <w:color w:val="000000"/>
                <w:sz w:val="24"/>
                <w:szCs w:val="24"/>
                <w:highlight w:val="none"/>
                <w:vertAlign w:val="baseline"/>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化学试剂和助剂制造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33</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原溧阳市兴达化工有限公司地块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南渡镇</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专项化学用品制造</w:t>
            </w:r>
            <w:r>
              <w:rPr>
                <w:rFonts w:ascii="Times New Roman" w:hAnsi="Times New Roman" w:eastAsia="仿宋_GB2312" w:cs="Times New Roman"/>
                <w:color w:val="000000"/>
                <w:sz w:val="24"/>
                <w:szCs w:val="24"/>
                <w:highlight w:val="none"/>
                <w:vertAlign w:val="baseline"/>
              </w:rPr>
            </w:r>
            <w:r/>
          </w:p>
        </w:tc>
      </w:tr>
      <w:tr>
        <w:trPr/>
        <w:tc>
          <w:tcPr>
            <w:tcW w:w="750" w:type="dxa"/>
            <w:vAlign w:val="center"/>
            <w:vMerge w:val="continue"/>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r>
            <w:r/>
          </w:p>
        </w:tc>
        <w:tc>
          <w:tcPr>
            <w:tcW w:w="750"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34</w:t>
            </w:r>
            <w:r>
              <w:rPr>
                <w:rFonts w:ascii="Times New Roman" w:hAnsi="Times New Roman" w:eastAsia="仿宋_GB2312" w:cs="Times New Roman"/>
                <w:color w:val="000000"/>
                <w:sz w:val="24"/>
                <w:szCs w:val="24"/>
                <w:highlight w:val="none"/>
                <w:vertAlign w:val="baseline"/>
                <w:lang w:val="en-US" w:eastAsia="zh-CN"/>
              </w:rPr>
            </w:r>
            <w:r/>
          </w:p>
        </w:tc>
        <w:tc>
          <w:tcPr>
            <w:tcW w:w="436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原溧阳市长青化工有限公司地块</w:t>
            </w:r>
            <w:r>
              <w:rPr>
                <w:rFonts w:ascii="Times New Roman" w:hAnsi="Times New Roman" w:eastAsia="仿宋_GB2312" w:cs="Times New Roman"/>
                <w:color w:val="000000"/>
                <w:sz w:val="24"/>
                <w:szCs w:val="24"/>
                <w:highlight w:val="none"/>
                <w:vertAlign w:val="baseline"/>
              </w:rPr>
            </w:r>
            <w:r/>
          </w:p>
        </w:tc>
        <w:tc>
          <w:tcPr>
            <w:tcW w:w="1238" w:type="dxa"/>
            <w:vAlign w:val="center"/>
            <w:textDirection w:val="lrTb"/>
            <w:noWrap w:val="false"/>
          </w:tcPr>
          <w:p>
            <w:pPr>
              <w:pStyle w:val="809"/>
              <w:jc w:val="center"/>
              <w:keepLines w:val="0"/>
              <w:keepNext w:val="0"/>
              <w:pageBreakBefore w:val="0"/>
              <w:spacing w:line="360" w:lineRule="exact"/>
              <w:widowControl w:val="off"/>
              <w:rPr>
                <w:rFonts w:hint="eastAsia" w:ascii="Times New Roman" w:hAnsi="Times New Roman" w:eastAsia="仿宋_GB2312" w:cs="Times New Roman"/>
                <w:color w:val="000000"/>
                <w:sz w:val="24"/>
                <w:szCs w:val="24"/>
                <w:highlight w:val="none"/>
                <w:vertAlign w:val="baseline"/>
                <w:lang w:val="en-US" w:eastAsia="zh-CN"/>
              </w:rPr>
            </w:pPr>
            <w:r>
              <w:rPr>
                <w:rFonts w:hint="eastAsia" w:ascii="Times New Roman" w:hAnsi="Times New Roman" w:eastAsia="仿宋_GB2312" w:cs="Times New Roman"/>
                <w:color w:val="000000"/>
                <w:sz w:val="24"/>
                <w:szCs w:val="24"/>
                <w:highlight w:val="none"/>
                <w:vertAlign w:val="baseline"/>
                <w:lang w:val="en-US" w:eastAsia="zh-CN"/>
              </w:rPr>
              <w:t xml:space="preserve">竹箦镇</w:t>
            </w:r>
            <w:r>
              <w:rPr>
                <w:rFonts w:hint="eastAsia" w:ascii="Times New Roman" w:hAnsi="Times New Roman" w:eastAsia="仿宋_GB2312" w:cs="Times New Roman"/>
                <w:color w:val="000000"/>
                <w:sz w:val="24"/>
                <w:szCs w:val="24"/>
                <w:highlight w:val="none"/>
                <w:vertAlign w:val="baseline"/>
                <w:lang w:val="en-US" w:eastAsia="zh-CN"/>
              </w:rPr>
            </w:r>
            <w:r/>
          </w:p>
        </w:tc>
        <w:tc>
          <w:tcPr>
            <w:tcW w:w="3438" w:type="dxa"/>
            <w:vAlign w:val="center"/>
            <w:textDirection w:val="lrTb"/>
            <w:noWrap w:val="false"/>
          </w:tcPr>
          <w:p>
            <w:pPr>
              <w:pStyle w:val="809"/>
              <w:jc w:val="center"/>
              <w:keepLines w:val="0"/>
              <w:keepNext w:val="0"/>
              <w:pageBreakBefore w:val="0"/>
              <w:spacing w:line="360" w:lineRule="exact"/>
              <w:widowControl w:val="off"/>
              <w:rPr>
                <w:rFonts w:ascii="Times New Roman" w:hAnsi="Times New Roman" w:eastAsia="仿宋_GB2312" w:cs="Times New Roman"/>
                <w:color w:val="000000"/>
                <w:sz w:val="24"/>
                <w:szCs w:val="24"/>
                <w:highlight w:val="none"/>
                <w:vertAlign w:val="baseline"/>
              </w:rPr>
            </w:pPr>
            <w:r>
              <w:rPr>
                <w:rFonts w:ascii="Times New Roman" w:hAnsi="Times New Roman" w:eastAsia="仿宋_GB2312" w:cs="Times New Roman"/>
                <w:color w:val="000000"/>
                <w:sz w:val="24"/>
                <w:szCs w:val="24"/>
                <w:highlight w:val="none"/>
                <w:vertAlign w:val="baseline"/>
              </w:rPr>
              <w:t xml:space="preserve">其他基础化学原料制造</w:t>
            </w:r>
            <w:r>
              <w:rPr>
                <w:rFonts w:ascii="Times New Roman" w:hAnsi="Times New Roman" w:eastAsia="仿宋_GB2312" w:cs="Times New Roman"/>
                <w:color w:val="000000"/>
                <w:sz w:val="24"/>
                <w:szCs w:val="24"/>
                <w:highlight w:val="none"/>
                <w:vertAlign w:val="baseline"/>
              </w:rPr>
            </w:r>
            <w:r/>
          </w:p>
        </w:tc>
      </w:tr>
    </w:tbl>
    <w:p>
      <w:pPr>
        <w:pStyle w:val="809"/>
        <w:ind w:firstLine="420"/>
        <w:jc w:val="left"/>
        <w:spacing w:line="360" w:lineRule="auto"/>
        <w:rPr>
          <w:rFonts w:ascii="宋体" w:hAnsi="宋体"/>
          <w:color w:val="000000"/>
          <w:szCs w:val="21"/>
          <w:highlight w:val="none"/>
        </w:rPr>
      </w:pPr>
      <w:r>
        <w:rPr>
          <w:rFonts w:ascii="宋体" w:hAnsi="宋体"/>
          <w:color w:val="000000"/>
          <w:szCs w:val="21"/>
          <w:highlight w:val="none"/>
        </w:rPr>
      </w:r>
      <w:r/>
    </w:p>
    <w:p>
      <w:pPr>
        <w:pStyle w:val="809"/>
        <w:ind w:firstLine="482"/>
        <w:spacing w:line="360" w:lineRule="auto"/>
        <w:rPr>
          <w:rFonts w:ascii="宋体" w:hAnsi="宋体"/>
          <w:b/>
          <w:bCs/>
          <w:color w:val="000000"/>
          <w:sz w:val="24"/>
          <w:highlight w:val="none"/>
        </w:rPr>
        <w:outlineLvl w:val="1"/>
      </w:pPr>
      <w:r/>
      <w:bookmarkStart w:id="673" w:name="_Toc128057693"/>
      <w:r/>
      <w:bookmarkStart w:id="674" w:name="_Toc129694579"/>
      <w:r>
        <w:rPr>
          <w:rFonts w:hint="eastAsia" w:ascii="宋体" w:hAnsi="宋体"/>
          <w:b/>
          <w:bCs/>
          <w:color w:val="000000"/>
          <w:sz w:val="24"/>
          <w:highlight w:val="none"/>
        </w:rPr>
        <w:t xml:space="preserve">二、技术规范</w:t>
      </w:r>
      <w:bookmarkEnd w:id="673"/>
      <w:r/>
      <w:bookmarkEnd w:id="674"/>
      <w:r>
        <w:rPr>
          <w:rFonts w:ascii="宋体" w:hAnsi="宋体"/>
          <w:b/>
          <w:bCs/>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（1）《中华人民共和国土壤污染防治法》；</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（2）《建设用地土壤污染状况调查技术导则》（</w:t>
      </w:r>
      <w:r>
        <w:rPr>
          <w:rFonts w:ascii="宋体" w:hAnsi="宋体" w:cs="宋体"/>
          <w:color w:val="000000"/>
          <w:sz w:val="24"/>
          <w:highlight w:val="none"/>
        </w:rPr>
        <w:t xml:space="preserve">HJ25.1-2019</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（3）《建设用地土壤污染风险管控和修复监测技术导则》（</w:t>
      </w:r>
      <w:r>
        <w:rPr>
          <w:rFonts w:ascii="宋体" w:hAnsi="宋体" w:cs="宋体"/>
          <w:color w:val="000000"/>
          <w:sz w:val="24"/>
          <w:highlight w:val="none"/>
        </w:rPr>
        <w:t xml:space="preserve">HJ25.2-2019</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（4）《关于印发常州市2021年土壤污染防治工作计划的通知》（常土治办〔2021〕4号）</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（5）《土壤环境监测技术规范》（HJ/T166-2004）；</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（6）《地下水环境监测技术规范》（HJ164-2020）；</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（7）《地块土壤和地下水中挥发性有机物采样技术导则》（HJ1019-2019）；</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（8）《土壤环境质量建设用地土壤污染风险管控标准（试行）》（GB36600-2018）；</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（9）《土壤环境质量农用地土壤污染风险管控标准（试行）》（GB15618-2018）；</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（10）《地下水质量标准》（GB/T14848-2017）。</w:t>
      </w:r>
      <w:r>
        <w:rPr>
          <w:rFonts w:ascii="宋体" w:hAnsi="宋体" w:cs="宋体"/>
          <w:color w:val="000000"/>
          <w:sz w:val="24"/>
          <w:highlight w:val="none"/>
        </w:rPr>
      </w:r>
      <w:r/>
    </w:p>
    <w:p>
      <w:pPr>
        <w:pStyle w:val="80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（11）《土壤污染重点监管单位周边监测技术规范》（DB/T4348-2022）</w:t>
      </w:r>
      <w:r>
        <w:rPr>
          <w:rFonts w:ascii="宋体" w:hAnsi="宋体" w:cs="宋体"/>
          <w:color w:val="000000"/>
          <w:sz w:val="24"/>
          <w:highlight w:val="none"/>
        </w:rPr>
      </w:r>
      <w:r/>
    </w:p>
    <w:p>
      <w:pPr>
        <w:pStyle w:val="809"/>
        <w:ind w:firstLine="482"/>
        <w:spacing w:line="360" w:lineRule="auto"/>
        <w:rPr>
          <w:rFonts w:ascii="宋体" w:hAnsi="宋体"/>
          <w:b/>
          <w:bCs/>
          <w:color w:val="000000"/>
          <w:sz w:val="24"/>
          <w:highlight w:val="none"/>
        </w:rPr>
        <w:outlineLvl w:val="1"/>
      </w:pPr>
      <w:r/>
      <w:bookmarkStart w:id="675" w:name="_Toc129694580"/>
      <w:r/>
      <w:bookmarkStart w:id="676" w:name="_Toc128057694"/>
      <w:r>
        <w:rPr>
          <w:rFonts w:hint="eastAsia" w:ascii="宋体" w:hAnsi="宋体"/>
          <w:b/>
          <w:bCs/>
          <w:color w:val="000000"/>
          <w:sz w:val="24"/>
          <w:highlight w:val="none"/>
        </w:rPr>
        <w:t xml:space="preserve">三、项目要求：</w:t>
      </w:r>
      <w:bookmarkEnd w:id="675"/>
      <w:r/>
      <w:bookmarkEnd w:id="676"/>
      <w:r>
        <w:rPr>
          <w:rFonts w:ascii="宋体" w:hAnsi="宋体"/>
          <w:b/>
          <w:bCs/>
          <w:color w:val="000000"/>
          <w:sz w:val="24"/>
          <w:highlight w:val="none"/>
        </w:rPr>
      </w:r>
      <w:r/>
    </w:p>
    <w:p>
      <w:pPr>
        <w:pStyle w:val="8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根据《中华人民共和国土壤污染防治法》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土壤污染源头防控行动计划</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要求，</w:t>
      </w:r>
      <w:r>
        <w:rPr>
          <w:rFonts w:hint="eastAsia" w:ascii="宋体" w:hAnsi="宋体"/>
          <w:color w:val="000000"/>
          <w:sz w:val="24"/>
          <w:highlight w:val="none"/>
          <w:lang w:val="en-US" w:eastAsia="zh-CN"/>
        </w:rPr>
        <w:t xml:space="preserve">严格按照《优先监管地块土壤污染管控工作指南》</w:t>
      </w:r>
      <w:r>
        <w:rPr>
          <w:rFonts w:hint="eastAsia" w:ascii="宋体" w:hAnsi="宋体"/>
          <w:color w:val="000000"/>
          <w:sz w:val="24"/>
          <w:highlight w:val="none"/>
        </w:rPr>
        <w:t xml:space="preserve">做好</w:t>
      </w:r>
      <w:r>
        <w:rPr>
          <w:rFonts w:hint="eastAsia" w:ascii="宋体" w:hAnsi="宋体" w:cs="宋体"/>
          <w:color w:val="000000"/>
          <w:sz w:val="24"/>
          <w:highlight w:val="none"/>
        </w:rPr>
        <w:t xml:space="preserve">基础信息调查、点位布设、样品采集与流转、检测指标确定、结果评估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信息填报</w:t>
      </w:r>
      <w:r>
        <w:rPr>
          <w:rFonts w:hint="eastAsia" w:ascii="宋体" w:hAnsi="宋体" w:cs="宋体"/>
          <w:color w:val="000000"/>
          <w:sz w:val="24"/>
          <w:highlight w:val="none"/>
        </w:rPr>
        <w:t xml:space="preserve">等</w:t>
      </w:r>
      <w:r>
        <w:rPr>
          <w:rFonts w:hint="eastAsia" w:ascii="宋体" w:hAnsi="宋体" w:cs="宋体"/>
          <w:color w:val="000000"/>
          <w:sz w:val="24"/>
          <w:highlight w:val="none"/>
          <w:lang w:val="en-US" w:eastAsia="zh-CN"/>
        </w:rPr>
        <w:t xml:space="preserve">工作</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1.基础信息调查</w:t>
      </w:r>
      <w:r>
        <w:rPr>
          <w:rFonts w:hint="eastAsia" w:ascii="宋体" w:hAnsi="宋体" w:eastAsia="宋体"/>
          <w:color w:val="000000"/>
          <w:sz w:val="24"/>
          <w:highlight w:val="none"/>
          <w:lang w:eastAsia="zh-CN"/>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地块基础信息主要包括企业基本信息、污染源信息、迁移途径信息、周边敏感目标信息等。</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企业基本信息、污染源信息、迁移途径信息等的调查按照《企业用地调查技术文件》附件1《重点行业企业用地调查信息采集技术规定（试行）》要求执行。周边敏感目标包括地下水敏感目标和环境空气敏感目标。地下水敏感目标信息采集范围为周边200米以内的地下水饮用水源保护区、地下水分散式饮用水源地、水力联系密切的地表水体等，水文地质条件有利于污染物迁移扩散的，地下水敏感目标信息采集范围可扩大范围。环境空气敏感目标信息采集范围为周边200米以内的居住、医疗卫生、文化教育、科研、行政办公等功能区。</w:t>
      </w:r>
      <w:r>
        <w:rPr>
          <w:rFonts w:hint="eastAsia" w:ascii="宋体" w:hAnsi="宋体"/>
          <w:color w:val="000000"/>
          <w:sz w:val="24"/>
          <w:highlight w:val="none"/>
        </w:rPr>
      </w:r>
      <w:r/>
    </w:p>
    <w:p>
      <w:pPr>
        <w:pStyle w:val="809"/>
        <w:numPr>
          <w:ilvl w:val="0"/>
          <w:numId w:val="13"/>
        </w:numPr>
        <w:ind w:firstLine="480"/>
        <w:spacing w:line="360" w:lineRule="auto"/>
        <w:tabs>
          <w:tab w:val="left" w:pos="312" w:leader="none"/>
        </w:tabs>
        <w:rPr>
          <w:rFonts w:hint="eastAsia" w:ascii="宋体" w:hAnsi="宋体"/>
          <w:color w:val="000000"/>
          <w:sz w:val="24"/>
          <w:highlight w:val="none"/>
          <w:lang w:eastAsia="zh-CN"/>
        </w:rPr>
      </w:pPr>
      <w:r>
        <w:rPr>
          <w:rFonts w:hint="eastAsia" w:ascii="宋体" w:hAnsi="宋体"/>
          <w:color w:val="000000"/>
          <w:sz w:val="24"/>
          <w:highlight w:val="none"/>
        </w:rPr>
        <w:t xml:space="preserve">点位布设</w:t>
      </w:r>
      <w:r>
        <w:rPr>
          <w:rFonts w:hint="eastAsia" w:ascii="宋体" w:hAnsi="宋体"/>
          <w:color w:val="000000"/>
          <w:sz w:val="24"/>
          <w:highlight w:val="none"/>
          <w:lang w:eastAsia="zh-CN"/>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（1）地块内部点位布设</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按照《企业用地调查技术文件》附件4《重点行业企业用地调查疑似污染地块布点技术规定（试行）》，在疑似污染区域布设土壤和地下水监测点。</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（2）地块边界和周边敏感目标点位布设</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基础信息调查发现地块涉及易迁移特征污染物且存在地下水敏感目标的，在边界处四个垂直轴向上至少各布设1个地下水监测点，并在距地块边界最近的地下水下游敏感目标处至少布设1个地下水监测点；涉及挥发性特征污染物且存在环境空气敏感目标的地块，在边界处采样时的上、下风向至少各布设1个环境空气监测点，并在距地块边界下风向最近的环境空气敏感目标（含临时使用区域）处至少布设1个环境空气监测点。</w:t>
      </w:r>
      <w:r>
        <w:rPr>
          <w:rFonts w:hint="eastAsia" w:ascii="宋体" w:hAnsi="宋体"/>
          <w:color w:val="000000"/>
          <w:sz w:val="24"/>
          <w:highlight w:val="none"/>
        </w:rPr>
      </w:r>
      <w:r/>
    </w:p>
    <w:p>
      <w:pPr>
        <w:pStyle w:val="809"/>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w:t>
      </w:r>
      <w:r>
        <w:rPr>
          <w:rFonts w:ascii="宋体" w:hAnsi="宋体"/>
          <w:b/>
          <w:bCs/>
          <w:color w:val="000000"/>
          <w:sz w:val="24"/>
          <w:highlight w:val="none"/>
        </w:rPr>
        <w:t xml:space="preserve">监测项目</w:t>
      </w:r>
      <w:r>
        <w:rPr>
          <w:rFonts w:ascii="宋体" w:hAnsi="宋体"/>
          <w:b/>
          <w:bCs/>
          <w:color w:val="000000"/>
          <w:sz w:val="24"/>
          <w:highlight w:val="none"/>
        </w:rPr>
      </w:r>
      <w:r/>
    </w:p>
    <w:p>
      <w:pPr>
        <w:pStyle w:val="809"/>
        <w:jc w:val="center"/>
        <w:rPr>
          <w:rFonts w:hint="eastAsia"/>
          <w:color w:val="000000"/>
          <w:highlight w:val="none"/>
        </w:rPr>
      </w:pPr>
      <w:r>
        <w:rPr>
          <w:color w:val="000000"/>
          <w:highlight w:val="none"/>
          <w:lang w:val="en-US" w:eastAsia="zh-CN"/>
        </w:rPr>
        <w:t xml:space="preserve">易迁移污染物和挥发性污染物建议清单</w:t>
      </w:r>
      <w:r>
        <w:rPr>
          <w:rFonts w:hint="eastAsia"/>
          <w:color w:val="000000"/>
          <w:highlight w:val="none"/>
        </w:rPr>
      </w:r>
      <w:r/>
    </w:p>
    <w:tbl>
      <w:tblPr>
        <w:tblStyle w:val="88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rHeight w:val="510"/>
        </w:trPr>
        <w:tc>
          <w:tcPr>
            <w:tcW w:w="4264" w:type="dxa"/>
            <w:vAlign w:val="center"/>
            <w:textDirection w:val="lrTb"/>
            <w:noWrap w:val="false"/>
          </w:tcPr>
          <w:p>
            <w:pPr>
              <w:pStyle w:val="809"/>
              <w:jc w:val="center"/>
              <w:keepLines w:val="0"/>
              <w:keepNext w:val="0"/>
              <w:spacing w:line="240" w:lineRule="auto"/>
              <w:widowControl/>
              <w:rPr>
                <w:rFonts w:hint="eastAsia" w:ascii="宋体" w:hAnsi="宋体"/>
                <w:color w:val="000000"/>
                <w:sz w:val="24"/>
                <w:highlight w:val="none"/>
                <w:vertAlign w:val="baseline"/>
              </w:rPr>
              <w:suppressLineNumbers w:val="0"/>
            </w:pPr>
            <w:r>
              <w:rPr>
                <w:rFonts w:ascii="黑体" w:hAnsi="宋体" w:eastAsia="黑体" w:cs="黑体"/>
                <w:color w:val="000000"/>
                <w:sz w:val="24"/>
                <w:szCs w:val="24"/>
                <w:highlight w:val="none"/>
                <w:lang w:val="en-US" w:eastAsia="zh-CN" w:bidi="ar"/>
              </w:rPr>
              <w:t xml:space="preserve">类别</w:t>
            </w:r>
            <w:r>
              <w:rPr>
                <w:rFonts w:hint="eastAsia" w:ascii="宋体" w:hAnsi="宋体"/>
                <w:color w:val="000000"/>
                <w:sz w:val="24"/>
                <w:highlight w:val="none"/>
                <w:vertAlign w:val="baseline"/>
              </w:rPr>
            </w:r>
            <w:r/>
          </w:p>
        </w:tc>
        <w:tc>
          <w:tcPr>
            <w:tcW w:w="4264" w:type="dxa"/>
            <w:vAlign w:val="center"/>
            <w:textDirection w:val="lrTb"/>
            <w:noWrap w:val="false"/>
          </w:tcPr>
          <w:p>
            <w:pPr>
              <w:pStyle w:val="809"/>
              <w:jc w:val="center"/>
              <w:keepLines w:val="0"/>
              <w:keepNext w:val="0"/>
              <w:widowControl/>
              <w:rPr>
                <w:rFonts w:hint="eastAsia" w:ascii="宋体" w:hAnsi="宋体"/>
                <w:color w:val="000000"/>
                <w:sz w:val="24"/>
                <w:highlight w:val="none"/>
                <w:vertAlign w:val="baseline"/>
              </w:rPr>
              <w:suppressLineNumbers w:val="0"/>
            </w:pPr>
            <w:r>
              <w:rPr>
                <w:rFonts w:ascii="黑体" w:hAnsi="宋体" w:eastAsia="黑体" w:cs="黑体"/>
                <w:color w:val="000000"/>
                <w:sz w:val="24"/>
                <w:szCs w:val="24"/>
                <w:highlight w:val="none"/>
                <w:lang w:val="en-US" w:eastAsia="zh-CN" w:bidi="ar"/>
              </w:rPr>
              <w:t xml:space="preserve">污染物</w:t>
            </w:r>
            <w:r>
              <w:rPr>
                <w:rFonts w:hint="eastAsia" w:ascii="黑体" w:hAnsi="宋体" w:eastAsia="黑体" w:cs="黑体"/>
                <w:color w:val="000000"/>
                <w:sz w:val="24"/>
                <w:szCs w:val="24"/>
                <w:highlight w:val="none"/>
                <w:lang w:val="en-US" w:eastAsia="zh-CN" w:bidi="ar"/>
              </w:rPr>
              <w:t xml:space="preserve">名称</w:t>
            </w:r>
            <w:r>
              <w:rPr>
                <w:rFonts w:hint="eastAsia" w:ascii="宋体" w:hAnsi="宋体"/>
                <w:color w:val="000000"/>
                <w:sz w:val="24"/>
                <w:highlight w:val="none"/>
                <w:vertAlign w:val="baseline"/>
              </w:rPr>
            </w:r>
            <w:r/>
          </w:p>
        </w:tc>
      </w:tr>
      <w:tr>
        <w:trPr/>
        <w:tc>
          <w:tcPr>
            <w:tcW w:w="4264" w:type="dxa"/>
            <w:vAlign w:val="center"/>
            <w:textDirection w:val="lrTb"/>
            <w:noWrap w:val="false"/>
          </w:tcPr>
          <w:p>
            <w:pPr>
              <w:pStyle w:val="809"/>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易迁移污染物</w:t>
            </w:r>
            <w:r>
              <w:rPr>
                <w:rFonts w:hint="eastAsia" w:ascii="宋体" w:hAnsi="宋体" w:eastAsia="宋体" w:cs="宋体"/>
                <w:color w:val="000000"/>
                <w:highlight w:val="none"/>
              </w:rPr>
            </w:r>
            <w:r/>
          </w:p>
          <w:p>
            <w:pPr>
              <w:pStyle w:val="809"/>
              <w:jc w:val="center"/>
              <w:spacing w:line="360" w:lineRule="auto"/>
              <w:rPr>
                <w:rFonts w:hint="eastAsia" w:ascii="宋体" w:hAnsi="宋体" w:eastAsia="宋体" w:cs="宋体"/>
                <w:color w:val="000000"/>
                <w:sz w:val="24"/>
                <w:highlight w:val="none"/>
                <w:vertAlign w:val="baseline"/>
              </w:rPr>
            </w:pPr>
            <w:r>
              <w:rPr>
                <w:rFonts w:hint="eastAsia" w:ascii="宋体" w:hAnsi="宋体" w:eastAsia="宋体" w:cs="宋体"/>
                <w:color w:val="000000"/>
                <w:sz w:val="24"/>
                <w:highlight w:val="none"/>
                <w:vertAlign w:val="baseline"/>
              </w:rPr>
            </w:r>
            <w:r/>
          </w:p>
        </w:tc>
        <w:tc>
          <w:tcPr>
            <w:tcW w:w="4264" w:type="dxa"/>
            <w:vAlign w:val="center"/>
            <w:textDirection w:val="lrTb"/>
            <w:noWrap w:val="false"/>
          </w:tcPr>
          <w:p>
            <w:pPr>
              <w:pStyle w:val="809"/>
              <w:jc w:val="center"/>
              <w:keepLines w:val="0"/>
              <w:keepNext w:val="0"/>
              <w:widowControl/>
              <w:rPr>
                <w:rFonts w:hint="eastAsia" w:ascii="宋体" w:hAnsi="宋体" w:eastAsia="宋体" w:cs="宋体"/>
                <w:color w:val="000000"/>
                <w:sz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六价铬、苯、甲苯、乙苯、二甲苯、苯乙烯、二氯甲烷、三氯甲烷、四氯化碳、1,2-二氯乙烷、1,1,1-三氯乙烷、1,1,2-三氯乙烷、1,2-二氯丙烷、氯乙烯、1,1-二氯乙烯、1,2-二氯乙烯（顺-1,2-二氯乙烯、反-1,2-二氯乙烯）、三氯乙烯、四氯乙烯、一溴二氯甲烷、二溴氯甲烷、溴仿、敌敌畏、乐果、石油烃（C</w:t>
            </w:r>
            <w:r>
              <w:rPr>
                <w:rFonts w:hint="eastAsia" w:ascii="宋体" w:hAnsi="宋体" w:eastAsia="宋体" w:cs="宋体"/>
                <w:color w:val="000000"/>
                <w:sz w:val="12"/>
                <w:szCs w:val="12"/>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-C</w:t>
            </w:r>
            <w:r>
              <w:rPr>
                <w:rFonts w:hint="eastAsia" w:ascii="宋体" w:hAnsi="宋体" w:eastAsia="宋体" w:cs="宋体"/>
                <w:color w:val="000000"/>
                <w:sz w:val="12"/>
                <w:szCs w:val="12"/>
                <w:highlight w:val="none"/>
                <w:lang w:val="en-US" w:eastAsia="zh-CN" w:bidi="ar"/>
              </w:rPr>
              <w:t xml:space="preserve">40</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highlight w:val="none"/>
                <w:vertAlign w:val="baseline"/>
              </w:rPr>
            </w:r>
            <w:r/>
          </w:p>
        </w:tc>
      </w:tr>
      <w:tr>
        <w:trPr/>
        <w:tc>
          <w:tcPr>
            <w:tcW w:w="4264" w:type="dxa"/>
            <w:vAlign w:val="center"/>
            <w:textDirection w:val="lrTb"/>
            <w:noWrap w:val="false"/>
          </w:tcPr>
          <w:p>
            <w:pPr>
              <w:pStyle w:val="809"/>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挥发性污染物</w:t>
            </w:r>
            <w:r>
              <w:rPr>
                <w:rFonts w:hint="eastAsia" w:ascii="宋体" w:hAnsi="宋体" w:eastAsia="宋体" w:cs="宋体"/>
                <w:color w:val="000000"/>
                <w:highlight w:val="none"/>
              </w:rPr>
            </w:r>
            <w:r/>
          </w:p>
          <w:p>
            <w:pPr>
              <w:pStyle w:val="809"/>
              <w:jc w:val="center"/>
              <w:spacing w:line="360" w:lineRule="auto"/>
              <w:rPr>
                <w:rFonts w:hint="eastAsia" w:ascii="宋体" w:hAnsi="宋体" w:eastAsia="宋体" w:cs="宋体"/>
                <w:color w:val="000000"/>
                <w:sz w:val="24"/>
                <w:highlight w:val="none"/>
                <w:vertAlign w:val="baseline"/>
              </w:rPr>
            </w:pPr>
            <w:r>
              <w:rPr>
                <w:rFonts w:hint="eastAsia" w:ascii="宋体" w:hAnsi="宋体" w:eastAsia="宋体" w:cs="宋体"/>
                <w:color w:val="000000"/>
                <w:sz w:val="24"/>
                <w:highlight w:val="none"/>
                <w:vertAlign w:val="baseline"/>
              </w:rPr>
            </w:r>
            <w:r/>
          </w:p>
        </w:tc>
        <w:tc>
          <w:tcPr>
            <w:tcW w:w="4264" w:type="dxa"/>
            <w:vAlign w:val="center"/>
            <w:textDirection w:val="lrTb"/>
            <w:noWrap w:val="false"/>
          </w:tcPr>
          <w:p>
            <w:pPr>
              <w:pStyle w:val="809"/>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a）挥发性有机污染物：苯、甲苯、二甲苯、苯乙烯、氯乙烯、氯苯类（包括氯苯、1,4-二氯苯、1,2-二氯苯）。</w:t>
            </w:r>
            <w:r>
              <w:rPr>
                <w:rFonts w:hint="eastAsia" w:ascii="宋体" w:hAnsi="宋体" w:eastAsia="宋体" w:cs="宋体"/>
                <w:color w:val="000000"/>
                <w:highlight w:val="none"/>
              </w:rPr>
            </w:r>
            <w:r/>
          </w:p>
          <w:p>
            <w:pPr>
              <w:pStyle w:val="809"/>
              <w:jc w:val="center"/>
              <w:keepLines w:val="0"/>
              <w:keepNext w:val="0"/>
              <w:widowControl/>
              <w:rPr>
                <w:rFonts w:hint="eastAsia" w:ascii="宋体" w:hAnsi="宋体" w:eastAsia="宋体" w:cs="宋体"/>
                <w:color w:val="000000"/>
                <w:sz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b）恶臭污染物：甲醇、甲醛、乙醛、丙烯腈、苯乙烯、丙烯醛、三甲胺、硫化氢、甲硫醇、甲硫醚、二甲二硫、二硫化碳、氨、汞</w:t>
            </w:r>
            <w:r>
              <w:rPr>
                <w:rFonts w:hint="eastAsia" w:ascii="宋体" w:hAnsi="宋体" w:eastAsia="宋体" w:cs="宋体"/>
                <w:color w:val="000000"/>
                <w:sz w:val="24"/>
                <w:highlight w:val="none"/>
                <w:vertAlign w:val="baseline"/>
              </w:rPr>
            </w:r>
            <w:r/>
          </w:p>
        </w:tc>
      </w:tr>
    </w:tbl>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3.样品采集与流转</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按照《企业用地调查技术文件》附件5《重点行业企业用地调查样品采集保存和流转技术规定（试行）》，开展土壤和地下水样品采集、保存和流转等。</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按照HJ194、GB/T14675、GB/T14676、GB/T14677、GB/T14678等，开展环境空气样品采集、保存和流转等。</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4.检测指标确定</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（1）土壤</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疑似污染区域土壤样品检测指标包括GB36600中的45项基本项目以及根据污染源信息分析确定特征污染物。</w:t>
      </w:r>
      <w:r>
        <w:rPr>
          <w:rFonts w:hint="eastAsia" w:ascii="宋体" w:hAnsi="宋体"/>
          <w:color w:val="000000"/>
          <w:sz w:val="24"/>
          <w:highlight w:val="none"/>
        </w:rPr>
      </w:r>
      <w:r/>
    </w:p>
    <w:p>
      <w:pPr>
        <w:pStyle w:val="809"/>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（2）</w:t>
      </w:r>
      <w:r>
        <w:rPr>
          <w:rFonts w:hint="eastAsia" w:ascii="宋体" w:hAnsi="宋体"/>
          <w:color w:val="000000"/>
          <w:sz w:val="24"/>
          <w:highlight w:val="none"/>
        </w:rPr>
        <w:t xml:space="preserve">地下水</w:t>
      </w:r>
      <w:r>
        <w:rPr>
          <w:rFonts w:ascii="宋体" w:hAnsi="宋体" w:eastAsia="宋体"/>
          <w:color w:val="000000"/>
          <w:sz w:val="24"/>
          <w:highlight w:val="none"/>
          <w:lang w:val="en-US" w:eastAsia="zh-CN"/>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疑似污染区域地下水样品检测指标为</w:t>
      </w:r>
      <w:r>
        <w:rPr>
          <w:rFonts w:ascii="宋体" w:hAnsi="宋体"/>
          <w:color w:val="000000"/>
          <w:sz w:val="24"/>
          <w:highlight w:val="none"/>
        </w:rPr>
        <w:t xml:space="preserve">常规指标：《地下水质量标准》（GB/T 14848-2017）表1地下水质量常规指标37项（不包括放射性指标）</w:t>
      </w:r>
      <w:r>
        <w:rPr>
          <w:rFonts w:hint="eastAsia" w:ascii="宋体" w:hAnsi="宋体"/>
          <w:color w:val="000000"/>
          <w:sz w:val="24"/>
          <w:highlight w:val="none"/>
        </w:rPr>
        <w:t xml:space="preserve">及</w:t>
      </w:r>
      <w:r>
        <w:rPr>
          <w:rFonts w:hint="eastAsia" w:ascii="宋体" w:hAnsi="宋体"/>
          <w:color w:val="000000"/>
          <w:sz w:val="24"/>
          <w:highlight w:val="none"/>
        </w:rPr>
        <w:t xml:space="preserve">特征污染物，地</w:t>
      </w:r>
      <w:r>
        <w:rPr>
          <w:rFonts w:hint="eastAsia" w:ascii="宋体" w:hAnsi="宋体"/>
          <w:color w:val="000000"/>
          <w:sz w:val="24"/>
          <w:highlight w:val="none"/>
        </w:rPr>
        <w:t xml:space="preserve">块边界处和地下水敏感目标处的检测指标为特征污染物中的易迁移污染物。</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（3）环境空气</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地块边界处和环境空气敏感目标处的检测指标为特征污染物中的挥发性污染物</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ascii="宋体" w:hAnsi="宋体"/>
          <w:color w:val="000000"/>
          <w:sz w:val="24"/>
          <w:highlight w:val="none"/>
          <w:lang w:val="en-US" w:eastAsia="zh-CN"/>
        </w:rPr>
        <w:t xml:space="preserve">5.监测结果评估</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（1）土壤</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对规划用途明确的地块土壤，污染物采用GB36600中对应用地类型的筛选值进行评价；规划用途不明确的地块土壤，污染物根据现状用途采用对应用地类型的筛选值进行评价。对GB36600未涉及的污染物，可参照HJ25.3等标准及相关技术要求推导确定，或其他土壤污染风险管控标准进行评价。</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（2）地下水</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对地块疑似污染区域、地块边界的地下水，污染物采用GB/T14848中IV类标准限值进行评价；对地下水敏感目标处的地下水，污染物采用GB/T14848中III类标准限值进行评价。对GB/T14848未涉及的污染物，可采用其他水质标准进行评价，如石油烃（C10-C40）可采用《上海市建设用地土壤污染状况调查、风险评估、风险管控与修复方案编制、风险管控与修复效果评估工作的补充规定（试行）》</w:t>
      </w:r>
      <w:r>
        <w:rPr>
          <w:rFonts w:ascii="宋体" w:hAnsi="宋体"/>
          <w:color w:val="000000"/>
          <w:sz w:val="24"/>
          <w:highlight w:val="none"/>
          <w:lang w:val="en-US" w:eastAsia="zh-CN"/>
        </w:rPr>
        <w:t xml:space="preserve">中地下水污染风险管控筛选值进行评价。</w:t>
      </w:r>
      <w:r>
        <w:rPr>
          <w:rFonts w:hint="eastAsia" w:ascii="宋体" w:hAnsi="宋体"/>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（3）环境空气</w:t>
      </w:r>
      <w:r>
        <w:rPr>
          <w:rFonts w:hint="eastAsia" w:ascii="宋体" w:hAnsi="宋体"/>
          <w:color w:val="000000"/>
          <w:sz w:val="24"/>
          <w:highlight w:val="none"/>
        </w:rPr>
      </w:r>
      <w:r/>
    </w:p>
    <w:p>
      <w:pPr>
        <w:pStyle w:val="80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对地块边界处的环境空气，污染物采用GB16297无组织排放监控浓度限值、GB14554恶臭污染物厂界标准值；对环境空气敏感目标处的环境空气，污染物采用HJ2.2污染物空气质量参考限值、GB14554恶臭污染物厂界标准值进行评价。</w:t>
      </w:r>
      <w:r>
        <w:rPr>
          <w:rFonts w:hint="eastAsia" w:ascii="宋体" w:hAnsi="宋体"/>
          <w:color w:val="000000"/>
          <w:sz w:val="24"/>
          <w:highlight w:val="none"/>
        </w:rPr>
      </w:r>
      <w:r/>
    </w:p>
    <w:p>
      <w:pPr>
        <w:pStyle w:val="1062"/>
        <w:ind w:left="0" w:firstLine="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62"/>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根据场调实际，结合相关法规和技术规范，给出操作简单、方便，符合技术规范要求且切实可行的监测方案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监测方案需经</w:t>
      </w:r>
      <w:r>
        <w:rPr>
          <w:rFonts w:hint="eastAsia" w:ascii="宋体" w:hAnsi="宋体" w:eastAsia="宋体" w:cs="宋体"/>
          <w:color w:val="000000"/>
          <w:sz w:val="22"/>
          <w:szCs w:val="22"/>
          <w:highlight w:val="none"/>
          <w:lang w:val="en-US" w:eastAsia="zh-CN"/>
        </w:rPr>
        <w:t xml:space="preserve">过</w:t>
      </w:r>
      <w:r>
        <w:rPr>
          <w:rFonts w:hint="eastAsia" w:ascii="宋体" w:hAnsi="宋体" w:eastAsia="宋体" w:cs="宋体"/>
          <w:color w:val="000000"/>
          <w:sz w:val="22"/>
          <w:szCs w:val="22"/>
          <w:highlight w:val="none"/>
        </w:rPr>
        <w:t xml:space="preserve">专家</w:t>
      </w:r>
      <w:r>
        <w:rPr>
          <w:rFonts w:hint="eastAsia" w:ascii="宋体" w:hAnsi="宋体" w:eastAsia="宋体" w:cs="宋体"/>
          <w:color w:val="000000"/>
          <w:sz w:val="22"/>
          <w:szCs w:val="22"/>
          <w:highlight w:val="none"/>
          <w:lang w:val="en-US" w:eastAsia="zh-CN"/>
        </w:rPr>
        <w:t xml:space="preserve">组评审并签字认可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2"/>
        <w:numPr>
          <w:ilvl w:val="0"/>
          <w:numId w:val="0"/>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 xml:space="preserve">根据收集的材料，结合场调实际，编制详细的监测布点方案，监测方案要求一</w:t>
      </w:r>
      <w:r>
        <w:rPr>
          <w:rFonts w:hint="eastAsia" w:ascii="宋体" w:hAnsi="宋体" w:eastAsia="宋体" w:cs="宋体"/>
          <w:b/>
          <w:color w:val="000000"/>
          <w:sz w:val="24"/>
          <w:highlight w:val="none"/>
          <w:lang w:val="en-US" w:eastAsia="zh-CN"/>
        </w:rPr>
        <w:t xml:space="preserve">地块</w:t>
      </w:r>
      <w:r>
        <w:rPr>
          <w:rFonts w:hint="eastAsia" w:ascii="宋体" w:hAnsi="宋体" w:eastAsia="宋体" w:cs="宋体"/>
          <w:b/>
          <w:color w:val="000000"/>
          <w:sz w:val="24"/>
          <w:highlight w:val="none"/>
        </w:rPr>
        <w:t xml:space="preserve">一方案，指导完成现场钻探、成井、采样等监测工作。</w:t>
      </w:r>
      <w:r>
        <w:rPr>
          <w:rFonts w:hint="eastAsia" w:ascii="宋体" w:hAnsi="宋体" w:eastAsia="宋体" w:cs="宋体"/>
          <w:b/>
          <w:bCs/>
          <w:color w:val="000000"/>
          <w:sz w:val="24"/>
          <w:highlight w:val="none"/>
        </w:rPr>
        <w:t xml:space="preserve">现场样品的采集、流转和实验室检测需委托经CMA认证的第三方检测机构进行。</w:t>
      </w:r>
      <w:r>
        <w:rPr>
          <w:rFonts w:hint="eastAsia" w:ascii="宋体" w:hAnsi="宋体" w:eastAsia="宋体" w:cs="宋体"/>
          <w:color w:val="000000"/>
          <w:sz w:val="24"/>
          <w:szCs w:val="24"/>
          <w:highlight w:val="none"/>
        </w:rPr>
      </w:r>
      <w:r/>
    </w:p>
    <w:p>
      <w:pPr>
        <w:pStyle w:val="106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严格按照监测技术规范和监测方案实施监测，每个点监测过程要求全程留痕视频资料</w:t>
      </w:r>
      <w:r>
        <w:rPr>
          <w:rFonts w:hint="eastAsia" w:ascii="宋体" w:hAnsi="宋体" w:eastAsia="宋体" w:cs="宋体"/>
          <w:b/>
          <w:bCs/>
          <w:strike w:val="0"/>
          <w:color w:val="000000"/>
          <w:sz w:val="24"/>
          <w:szCs w:val="24"/>
          <w:highlight w:val="none"/>
        </w:rPr>
        <w:t xml:space="preserve">，监测井井口设置保护装置，周边设置围栏，做好</w:t>
      </w:r>
      <w:r>
        <w:rPr>
          <w:rFonts w:hint="eastAsia" w:ascii="宋体" w:hAnsi="宋体" w:eastAsia="宋体" w:cs="宋体"/>
          <w:b/>
          <w:bCs/>
          <w:strike w:val="0"/>
          <w:color w:val="000000"/>
          <w:sz w:val="24"/>
          <w:szCs w:val="24"/>
          <w:highlight w:val="none"/>
          <w:lang w:val="en-US" w:eastAsia="zh-CN"/>
        </w:rPr>
        <w:t xml:space="preserve">三</w:t>
      </w:r>
      <w:r>
        <w:rPr>
          <w:rFonts w:hint="eastAsia" w:ascii="宋体" w:hAnsi="宋体" w:eastAsia="宋体" w:cs="宋体"/>
          <w:b/>
          <w:bCs/>
          <w:strike w:val="0"/>
          <w:color w:val="000000"/>
          <w:sz w:val="24"/>
          <w:szCs w:val="24"/>
          <w:highlight w:val="none"/>
        </w:rPr>
        <w:t xml:space="preserve">年内的维护保养。</w:t>
      </w:r>
      <w:r>
        <w:rPr>
          <w:rFonts w:hint="eastAsia" w:ascii="宋体" w:hAnsi="宋体" w:eastAsia="宋体" w:cs="宋体"/>
          <w:b/>
          <w:bCs/>
          <w:color w:val="000000"/>
          <w:sz w:val="24"/>
          <w:szCs w:val="24"/>
          <w:highlight w:val="none"/>
        </w:rPr>
      </w:r>
      <w:r/>
    </w:p>
    <w:p>
      <w:pPr>
        <w:pStyle w:val="106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9"/>
        <w:spacing w:line="360" w:lineRule="auto"/>
        <w:rPr>
          <w:rFonts w:ascii="宋体" w:hAnsi="宋体"/>
          <w:b/>
          <w:bCs/>
          <w:color w:val="000000"/>
          <w:sz w:val="24"/>
          <w:highlight w:val="none"/>
        </w:rPr>
        <w:outlineLvl w:val="1"/>
      </w:pPr>
      <w:r/>
      <w:bookmarkEnd w:id="672"/>
      <w:r/>
      <w:bookmarkStart w:id="677" w:name="_Toc129694581"/>
      <w:r/>
      <w:bookmarkStart w:id="678" w:name="_Toc128057695"/>
      <w:r>
        <w:rPr>
          <w:rFonts w:hint="eastAsia" w:ascii="宋体" w:hAnsi="宋体"/>
          <w:b/>
          <w:bCs/>
          <w:color w:val="000000"/>
          <w:sz w:val="24"/>
          <w:highlight w:val="none"/>
        </w:rPr>
        <w:t xml:space="preserve">四、最终提交成果资料：</w:t>
      </w:r>
      <w:bookmarkEnd w:id="677"/>
      <w:r/>
      <w:bookmarkEnd w:id="678"/>
      <w:r>
        <w:rPr>
          <w:rFonts w:ascii="宋体" w:hAnsi="宋体"/>
          <w:b/>
          <w:bCs/>
          <w:color w:val="000000"/>
          <w:sz w:val="24"/>
          <w:highlight w:val="none"/>
        </w:rPr>
      </w:r>
      <w:r/>
    </w:p>
    <w:p>
      <w:pPr>
        <w:pStyle w:val="809"/>
        <w:ind w:firstLine="480"/>
        <w:spacing w:line="360" w:lineRule="auto"/>
        <w:rPr>
          <w:rFonts w:hint="eastAsia" w:ascii="宋体" w:hAnsi="宋体" w:eastAsia="宋体"/>
          <w:color w:val="000000"/>
          <w:sz w:val="22"/>
          <w:szCs w:val="22"/>
          <w:highlight w:val="none"/>
          <w:lang w:eastAsia="zh-CN"/>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提交完整的监测方案、分析调查报告纸质和电子版（PDF和word版本）、</w:t>
      </w:r>
      <w:r>
        <w:rPr>
          <w:rFonts w:hint="eastAsia" w:ascii="宋体" w:hAnsi="宋体" w:cs="宋体"/>
          <w:b/>
          <w:bCs/>
          <w:color w:val="000000"/>
          <w:sz w:val="24"/>
          <w:highlight w:val="none"/>
        </w:rPr>
        <w:t xml:space="preserve">全程留痕视频、文字等资料。</w:t>
      </w:r>
      <w:r>
        <w:rPr>
          <w:rFonts w:hint="eastAsia" w:ascii="宋体" w:hAnsi="宋体" w:eastAsia="宋体"/>
          <w:color w:val="000000"/>
          <w:sz w:val="22"/>
          <w:szCs w:val="22"/>
          <w:highlight w:val="none"/>
        </w:rPr>
        <w:t xml:space="preserve">项目</w:t>
      </w:r>
      <w:r>
        <w:rPr>
          <w:rFonts w:hint="eastAsia" w:ascii="宋体" w:hAnsi="宋体" w:eastAsia="宋体"/>
          <w:color w:val="000000"/>
          <w:sz w:val="22"/>
          <w:szCs w:val="22"/>
          <w:highlight w:val="none"/>
          <w:lang w:val="en-US" w:eastAsia="zh-CN"/>
        </w:rPr>
        <w:t xml:space="preserve">最终</w:t>
      </w:r>
      <w:r>
        <w:rPr>
          <w:rFonts w:hint="eastAsia" w:ascii="宋体" w:hAnsi="宋体" w:eastAsia="宋体"/>
          <w:color w:val="000000"/>
          <w:sz w:val="22"/>
          <w:szCs w:val="22"/>
          <w:highlight w:val="none"/>
        </w:rPr>
        <w:t xml:space="preserve">成果</w:t>
      </w:r>
      <w:r>
        <w:rPr>
          <w:rFonts w:hint="eastAsia" w:ascii="宋体" w:hAnsi="宋体" w:eastAsia="宋体"/>
          <w:color w:val="000000"/>
          <w:sz w:val="22"/>
          <w:szCs w:val="22"/>
          <w:highlight w:val="none"/>
          <w:lang w:val="en-US" w:eastAsia="zh-CN"/>
        </w:rPr>
        <w:t xml:space="preserve">需经过</w:t>
      </w:r>
      <w:r>
        <w:rPr>
          <w:rFonts w:hint="eastAsia" w:ascii="宋体" w:hAnsi="宋体" w:eastAsia="宋体"/>
          <w:color w:val="000000"/>
          <w:sz w:val="22"/>
          <w:szCs w:val="22"/>
          <w:highlight w:val="none"/>
        </w:rPr>
        <w:t xml:space="preserve">专家</w:t>
      </w:r>
      <w:r>
        <w:rPr>
          <w:rFonts w:hint="eastAsia" w:ascii="宋体" w:hAnsi="宋体" w:eastAsia="宋体"/>
          <w:color w:val="000000"/>
          <w:sz w:val="22"/>
          <w:szCs w:val="22"/>
          <w:highlight w:val="none"/>
          <w:lang w:val="en-US" w:eastAsia="zh-CN"/>
        </w:rPr>
        <w:t xml:space="preserve">组评审并签字认</w:t>
      </w:r>
      <w:r>
        <w:rPr>
          <w:rFonts w:hint="eastAsia" w:ascii="宋体" w:hAnsi="宋体"/>
          <w:color w:val="000000"/>
          <w:sz w:val="22"/>
          <w:szCs w:val="22"/>
          <w:highlight w:val="none"/>
          <w:lang w:val="en-US" w:eastAsia="zh-CN"/>
        </w:rPr>
        <w:t xml:space="preserve">可</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809"/>
        <w:ind w:firstLine="480"/>
        <w:spacing w:line="360" w:lineRule="auto"/>
        <w:rPr>
          <w:rFonts w:ascii="宋体" w:hAnsi="宋体" w:eastAsia="宋体"/>
          <w:color w:val="000000"/>
          <w:sz w:val="24"/>
          <w:highlight w:val="none"/>
          <w:lang w:val="en-US" w:eastAsia="zh-CN"/>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协助甲方完成信息</w:t>
      </w:r>
      <w:r>
        <w:rPr>
          <w:rFonts w:hint="eastAsia" w:ascii="宋体" w:hAnsi="宋体" w:cs="宋体"/>
          <w:b/>
          <w:bCs/>
          <w:color w:val="000000"/>
          <w:sz w:val="24"/>
          <w:highlight w:val="none"/>
          <w:lang w:val="en-US" w:eastAsia="zh-CN"/>
        </w:rPr>
        <w:t xml:space="preserve">填报</w:t>
      </w:r>
      <w:r>
        <w:rPr>
          <w:rFonts w:hint="eastAsia" w:ascii="宋体" w:hAnsi="宋体" w:cs="宋体"/>
          <w:b/>
          <w:bCs/>
          <w:color w:val="000000"/>
          <w:sz w:val="24"/>
          <w:highlight w:val="none"/>
          <w:lang w:val="en-US" w:eastAsia="zh-CN"/>
        </w:rPr>
        <w:t xml:space="preserve">及其他相关各项工作</w:t>
      </w:r>
      <w:r>
        <w:rPr>
          <w:rFonts w:hint="eastAsia" w:ascii="宋体" w:hAnsi="宋体" w:cs="宋体"/>
          <w:b/>
          <w:bCs/>
          <w:color w:val="000000"/>
          <w:sz w:val="24"/>
          <w:highlight w:val="none"/>
          <w:lang w:val="en-US" w:eastAsia="zh-CN"/>
        </w:rPr>
        <w:t xml:space="preserve">。</w:t>
      </w:r>
      <w:r>
        <w:rPr>
          <w:rFonts w:ascii="宋体" w:hAnsi="宋体" w:eastAsia="宋体"/>
          <w:color w:val="000000"/>
          <w:sz w:val="24"/>
          <w:highlight w:val="none"/>
          <w:lang w:val="en-US" w:eastAsia="zh-CN"/>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其他相关报告材料，具体要求按照省市下发文件为准。</w:t>
      </w:r>
      <w:r>
        <w:rPr>
          <w:rFonts w:hint="eastAsia" w:ascii="宋体" w:hAnsi="宋体"/>
          <w:color w:val="000000"/>
          <w:sz w:val="24"/>
          <w:highlight w:val="none"/>
        </w:rPr>
      </w:r>
      <w:r/>
    </w:p>
    <w:p>
      <w:pPr>
        <w:pStyle w:val="809"/>
        <w:spacing w:line="360" w:lineRule="auto"/>
        <w:rPr>
          <w:rFonts w:ascii="宋体" w:hAnsi="宋体"/>
          <w:b/>
          <w:bCs/>
          <w:color w:val="000000"/>
          <w:sz w:val="24"/>
          <w:highlight w:val="none"/>
        </w:rPr>
        <w:outlineLvl w:val="1"/>
      </w:pPr>
      <w:r/>
      <w:bookmarkStart w:id="679" w:name="_Toc128057697"/>
      <w:r/>
      <w:bookmarkStart w:id="680" w:name="_Toc129694583"/>
      <w:r>
        <w:rPr>
          <w:rFonts w:hint="eastAsia" w:ascii="宋体" w:hAnsi="宋体"/>
          <w:b/>
          <w:bCs/>
          <w:color w:val="000000"/>
          <w:sz w:val="24"/>
          <w:highlight w:val="none"/>
        </w:rPr>
        <w:t xml:space="preserve">五、服务周期：</w:t>
      </w:r>
      <w:bookmarkEnd w:id="679"/>
      <w:r/>
      <w:bookmarkEnd w:id="680"/>
      <w:r>
        <w:rPr>
          <w:rFonts w:ascii="宋体" w:hAnsi="宋体"/>
          <w:b/>
          <w:bCs/>
          <w:color w:val="000000"/>
          <w:sz w:val="24"/>
          <w:highlight w:val="none"/>
        </w:rPr>
      </w:r>
      <w:r/>
    </w:p>
    <w:p>
      <w:pPr>
        <w:pStyle w:val="8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1、本项目服务期：</w:t>
      </w:r>
      <w:r>
        <w:rPr>
          <w:rFonts w:hint="eastAsia" w:ascii="宋体" w:hAnsi="宋体"/>
          <w:color w:val="000000"/>
          <w:sz w:val="24"/>
          <w:highlight w:val="none"/>
          <w:lang w:val="en-US" w:eastAsia="zh-CN"/>
        </w:rPr>
        <w:t xml:space="preserve">合同签订后40日历天</w:t>
      </w:r>
      <w:r>
        <w:rPr>
          <w:rFonts w:hint="eastAsia" w:ascii="宋体" w:hAnsi="宋体"/>
          <w:color w:val="000000"/>
          <w:sz w:val="24"/>
          <w:highlight w:val="none"/>
        </w:rPr>
        <w:t xml:space="preserve">。同时严格按照</w:t>
      </w:r>
      <w:r>
        <w:rPr>
          <w:rFonts w:hint="eastAsia" w:ascii="宋体" w:hAnsi="宋体"/>
          <w:color w:val="000000"/>
          <w:sz w:val="24"/>
          <w:highlight w:val="none"/>
          <w:lang w:val="en-US" w:eastAsia="zh-CN"/>
        </w:rPr>
        <w:t xml:space="preserve">《优先监管地块土壤污染管控工作指南》</w:t>
      </w:r>
      <w:r>
        <w:rPr>
          <w:rFonts w:hint="eastAsia" w:ascii="宋体" w:hAnsi="宋体"/>
          <w:color w:val="000000"/>
          <w:sz w:val="24"/>
          <w:highlight w:val="none"/>
        </w:rPr>
        <w:t xml:space="preserve">和监测方案实施监测，每个点监测过程要求全程留痕视频资料</w:t>
      </w:r>
      <w:r>
        <w:rPr>
          <w:rFonts w:hint="eastAsia" w:ascii="宋体" w:hAnsi="宋体"/>
          <w:color w:val="000000"/>
          <w:sz w:val="24"/>
          <w:highlight w:val="none"/>
        </w:rPr>
      </w:r>
      <w:r/>
    </w:p>
    <w:p>
      <w:pPr>
        <w:pStyle w:val="809"/>
        <w:ind w:firstLine="480"/>
        <w:spacing w:line="360" w:lineRule="auto"/>
        <w:rPr>
          <w:rFonts w:ascii="宋体" w:hAnsi="宋体" w:cs="宋体"/>
          <w:b/>
          <w:bCs/>
          <w:strike/>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strike w:val="0"/>
          <w:color w:val="000000"/>
          <w:sz w:val="24"/>
          <w:highlight w:val="none"/>
        </w:rPr>
        <w:t xml:space="preserve">、地下水监测井应建成永久井，监测井所在位置要满足不受周边环境影响，监测井应建设保护装置以防受到破坏，并在井口做好标识以备后期的经常性维护。</w:t>
      </w:r>
      <w:r>
        <w:rPr>
          <w:rFonts w:ascii="宋体" w:hAnsi="宋体" w:cs="宋体"/>
          <w:b/>
          <w:bCs/>
          <w:strike/>
          <w:color w:val="000000"/>
          <w:sz w:val="24"/>
          <w:highlight w:val="none"/>
        </w:rPr>
      </w:r>
      <w:r/>
    </w:p>
    <w:p>
      <w:pPr>
        <w:pStyle w:val="809"/>
        <w:spacing w:line="360" w:lineRule="auto"/>
        <w:rPr>
          <w:rFonts w:ascii="宋体" w:hAnsi="宋体"/>
          <w:b/>
          <w:bCs/>
          <w:color w:val="000000"/>
          <w:sz w:val="24"/>
          <w:highlight w:val="none"/>
        </w:rPr>
        <w:outlineLvl w:val="1"/>
      </w:pPr>
      <w:r/>
      <w:bookmarkStart w:id="681" w:name="_Toc129694584"/>
      <w:r/>
      <w:bookmarkStart w:id="682" w:name="_Toc128057698"/>
      <w:r>
        <w:rPr>
          <w:rFonts w:hint="eastAsia" w:ascii="宋体" w:hAnsi="宋体"/>
          <w:b/>
          <w:bCs/>
          <w:color w:val="000000"/>
          <w:sz w:val="24"/>
          <w:highlight w:val="none"/>
        </w:rPr>
        <w:t xml:space="preserve">六、知识产权：</w:t>
      </w:r>
      <w:bookmarkEnd w:id="681"/>
      <w:r/>
      <w:bookmarkEnd w:id="682"/>
      <w:r>
        <w:rPr>
          <w:rFonts w:ascii="宋体" w:hAnsi="宋体"/>
          <w:b/>
          <w:bCs/>
          <w:color w:val="000000"/>
          <w:sz w:val="24"/>
          <w:highlight w:val="none"/>
        </w:rPr>
      </w:r>
      <w:r/>
    </w:p>
    <w:p>
      <w:pPr>
        <w:pStyle w:val="80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1、供应商必须保证投标文件、中标后提供的文件及资料均未侵犯他人的知识产权，否则必须承担由此引起的全部法律责任和经济责任。</w:t>
      </w:r>
      <w:r>
        <w:rPr>
          <w:rFonts w:ascii="宋体" w:hAnsi="宋体"/>
          <w:color w:val="000000"/>
          <w:sz w:val="24"/>
          <w:highlight w:val="none"/>
        </w:rPr>
      </w:r>
      <w:r/>
    </w:p>
    <w:p>
      <w:pPr>
        <w:pStyle w:val="80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2、供应商提交的所有投标文件及成果，其所有权均归采购人所有，采购人可任意使用其全部成果。</w:t>
      </w:r>
      <w:r>
        <w:rPr>
          <w:rFonts w:ascii="宋体" w:hAnsi="宋体"/>
          <w:color w:val="000000"/>
          <w:sz w:val="24"/>
          <w:highlight w:val="none"/>
        </w:rPr>
      </w:r>
      <w:r/>
    </w:p>
    <w:p>
      <w:pPr>
        <w:pStyle w:val="809"/>
        <w:jc w:val="left"/>
        <w:spacing w:line="360" w:lineRule="auto"/>
        <w:rPr>
          <w:rFonts w:ascii="宋体" w:hAnsi="宋体"/>
          <w:b/>
          <w:bCs/>
          <w:color w:val="000000"/>
          <w:sz w:val="24"/>
          <w:highlight w:val="none"/>
        </w:rPr>
        <w:outlineLvl w:val="1"/>
      </w:pPr>
      <w:r/>
      <w:bookmarkStart w:id="683" w:name="_Toc129694585"/>
      <w:r/>
      <w:bookmarkStart w:id="684" w:name="_Toc128057699"/>
      <w:r>
        <w:rPr>
          <w:rFonts w:hint="eastAsia" w:ascii="宋体" w:hAnsi="宋体"/>
          <w:b/>
          <w:bCs/>
          <w:color w:val="000000"/>
          <w:sz w:val="24"/>
          <w:highlight w:val="none"/>
        </w:rPr>
        <w:t xml:space="preserve">七、保密要求：</w:t>
      </w:r>
      <w:bookmarkEnd w:id="683"/>
      <w:r/>
      <w:bookmarkEnd w:id="684"/>
      <w:r>
        <w:rPr>
          <w:rFonts w:ascii="宋体" w:hAnsi="宋体"/>
          <w:b/>
          <w:bCs/>
          <w:color w:val="000000"/>
          <w:sz w:val="24"/>
          <w:highlight w:val="none"/>
        </w:rPr>
      </w:r>
      <w:r/>
    </w:p>
    <w:p>
      <w:pPr>
        <w:pStyle w:val="80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参加本项目工作的单位和个人，对属于国家秘密、商业机密的信息，必须严格遵守有关保密法律法规，确保不发生泄密问题。</w:t>
      </w:r>
      <w:r>
        <w:rPr>
          <w:rFonts w:ascii="宋体" w:hAnsi="宋体"/>
          <w:color w:val="000000"/>
          <w:sz w:val="24"/>
          <w:highlight w:val="none"/>
        </w:rPr>
      </w:r>
      <w:r/>
    </w:p>
    <w:p>
      <w:pPr>
        <w:pStyle w:val="878"/>
        <w:ind w:firstLine="0"/>
        <w:jc w:val="left"/>
        <w:spacing w:line="360" w:lineRule="auto"/>
        <w:tabs>
          <w:tab w:val="left" w:pos="567" w:leader="none"/>
        </w:tabs>
        <w:rPr>
          <w:rStyle w:val="1063"/>
          <w:b/>
          <w:color w:val="000000"/>
          <w:sz w:val="24"/>
          <w:highlight w:val="none"/>
        </w:rPr>
        <w:outlineLvl w:val="1"/>
      </w:pPr>
      <w:r/>
      <w:bookmarkStart w:id="685" w:name="_Toc129694586"/>
      <w:r/>
      <w:bookmarkStart w:id="686" w:name="_Toc128057700"/>
      <w:r>
        <w:rPr>
          <w:rFonts w:hint="eastAsia"/>
          <w:b/>
          <w:color w:val="000000"/>
          <w:sz w:val="24"/>
          <w:highlight w:val="none"/>
        </w:rPr>
        <w:t xml:space="preserve">八、投标</w:t>
      </w:r>
      <w:r>
        <w:rPr>
          <w:rStyle w:val="1063"/>
          <w:rFonts w:hint="eastAsia"/>
          <w:b/>
          <w:color w:val="000000"/>
          <w:sz w:val="24"/>
          <w:highlight w:val="none"/>
        </w:rPr>
        <w:t xml:space="preserve">报价：</w:t>
      </w:r>
      <w:bookmarkEnd w:id="685"/>
      <w:r/>
      <w:bookmarkEnd w:id="686"/>
      <w:r>
        <w:rPr>
          <w:rStyle w:val="1063"/>
          <w:b/>
          <w:color w:val="000000"/>
          <w:sz w:val="24"/>
          <w:highlight w:val="none"/>
        </w:rPr>
      </w:r>
      <w:r/>
    </w:p>
    <w:p>
      <w:pPr>
        <w:pStyle w:val="809"/>
        <w:ind w:firstLine="482"/>
        <w:jc w:val="left"/>
        <w:spacing w:line="360" w:lineRule="auto"/>
        <w:rPr>
          <w:rFonts w:ascii="宋体" w:hAnsi="宋体"/>
          <w:color w:val="000000"/>
          <w:sz w:val="24"/>
          <w:highlight w:val="none"/>
        </w:rPr>
      </w:pPr>
      <w:r>
        <w:rPr>
          <w:rFonts w:hint="eastAsia" w:ascii="宋体" w:hAnsi="宋体"/>
          <w:b/>
          <w:bCs/>
          <w:color w:val="000000"/>
          <w:sz w:val="24"/>
          <w:highlight w:val="none"/>
        </w:rPr>
        <w:t xml:space="preserve">本项目报价为固定总价。</w:t>
      </w:r>
      <w:r>
        <w:rPr>
          <w:rFonts w:hint="eastAsia" w:ascii="宋体" w:hAnsi="宋体"/>
          <w:color w:val="000000"/>
          <w:sz w:val="24"/>
          <w:highlight w:val="none"/>
        </w:rPr>
        <w:t xml:space="preserve">供应商应结合采购文件中所投</w:t>
      </w:r>
      <w:r>
        <w:rPr>
          <w:rFonts w:hint="eastAsia" w:ascii="宋体" w:hAnsi="宋体"/>
          <w:color w:val="000000"/>
          <w:sz w:val="24"/>
          <w:highlight w:val="none"/>
          <w:lang w:eastAsia="zh-CN"/>
        </w:rPr>
        <w:t xml:space="preserve">标段</w:t>
      </w:r>
      <w:r>
        <w:rPr>
          <w:rFonts w:hint="eastAsia" w:ascii="宋体" w:hAnsi="宋体"/>
          <w:color w:val="000000"/>
          <w:sz w:val="24"/>
          <w:highlight w:val="none"/>
        </w:rPr>
        <w:t xml:space="preserve">所列的地块，自行组织现场踏勘，并估算完成本项目可能发生的所有费用，然后报价。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ascii="宋体" w:hAnsi="宋体"/>
          <w:color w:val="000000"/>
          <w:sz w:val="24"/>
          <w:highlight w:val="none"/>
        </w:rPr>
      </w:r>
      <w:r/>
    </w:p>
    <w:p>
      <w:pPr>
        <w:pStyle w:val="809"/>
        <w:jc w:val="left"/>
        <w:spacing w:line="360" w:lineRule="auto"/>
        <w:widowControl/>
        <w:rPr>
          <w:rFonts w:ascii="宋体" w:hAnsi="宋体"/>
          <w:b/>
          <w:color w:val="000000"/>
          <w:sz w:val="24"/>
          <w:highlight w:val="none"/>
        </w:rPr>
        <w:outlineLvl w:val="1"/>
      </w:pPr>
      <w:r/>
      <w:bookmarkStart w:id="687" w:name="_Toc128057701"/>
      <w:r/>
      <w:bookmarkStart w:id="688" w:name="_Toc129694587"/>
      <w:r>
        <w:rPr>
          <w:rFonts w:hint="eastAsia" w:ascii="宋体" w:hAnsi="宋体"/>
          <w:b/>
          <w:bCs/>
          <w:color w:val="000000"/>
          <w:sz w:val="24"/>
          <w:highlight w:val="none"/>
        </w:rPr>
        <w:t xml:space="preserve">九</w:t>
      </w:r>
      <w:r>
        <w:rPr>
          <w:rFonts w:hint="eastAsia" w:ascii="宋体" w:hAnsi="宋体"/>
          <w:b/>
          <w:bCs/>
          <w:color w:val="000000"/>
          <w:sz w:val="24"/>
          <w:highlight w:val="none"/>
        </w:rPr>
        <w:t xml:space="preserve">、</w:t>
      </w:r>
      <w:r>
        <w:rPr>
          <w:rFonts w:hint="eastAsia" w:ascii="宋体" w:hAnsi="宋体"/>
          <w:b/>
          <w:color w:val="000000"/>
          <w:sz w:val="24"/>
          <w:highlight w:val="none"/>
        </w:rPr>
        <w:t xml:space="preserve">付款方式：</w:t>
      </w:r>
      <w:bookmarkEnd w:id="687"/>
      <w:r/>
      <w:bookmarkEnd w:id="688"/>
      <w:r>
        <w:rPr>
          <w:rFonts w:ascii="宋体" w:hAnsi="宋体"/>
          <w:b/>
          <w:color w:val="000000"/>
          <w:sz w:val="24"/>
          <w:highlight w:val="none"/>
        </w:rPr>
      </w:r>
      <w:r/>
    </w:p>
    <w:p>
      <w:pPr>
        <w:pStyle w:val="809"/>
        <w:ind w:firstLine="480"/>
        <w:rPr>
          <w:bCs/>
          <w:color w:val="000000"/>
          <w:highlight w:val="none"/>
        </w:rPr>
      </w:pPr>
      <w:r>
        <w:rPr>
          <w:rFonts w:hint="eastAsia" w:ascii="宋体" w:hAnsi="宋体"/>
          <w:color w:val="000000"/>
          <w:sz w:val="24"/>
          <w:highlight w:val="none"/>
          <w:lang w:val="en-US" w:eastAsia="zh-CN"/>
        </w:rPr>
        <w:t xml:space="preserve">供应商完成所有工作，提交合格的</w:t>
      </w:r>
      <w:r>
        <w:rPr>
          <w:rFonts w:hint="eastAsia" w:ascii="宋体" w:hAnsi="宋体"/>
          <w:color w:val="000000"/>
          <w:sz w:val="24"/>
          <w:highlight w:val="none"/>
          <w:lang w:val="zh-CN"/>
        </w:rPr>
        <w:t xml:space="preserve">分析调查报</w:t>
      </w:r>
      <w:r>
        <w:rPr>
          <w:rFonts w:hint="eastAsia" w:ascii="宋体" w:hAnsi="宋体"/>
          <w:color w:val="000000"/>
          <w:sz w:val="24"/>
          <w:highlight w:val="none"/>
          <w:lang w:val="en-US" w:eastAsia="zh-CN"/>
        </w:rPr>
        <w:t xml:space="preserve">告</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完成信息填报并通过审核</w:t>
      </w:r>
      <w:r>
        <w:rPr>
          <w:rFonts w:hint="eastAsia" w:ascii="宋体" w:hAnsi="宋体"/>
          <w:color w:val="000000"/>
          <w:sz w:val="24"/>
          <w:highlight w:val="none"/>
          <w:lang w:val="zh-CN"/>
        </w:rPr>
        <w:t xml:space="preserve">后，采购人支付</w:t>
      </w:r>
      <w:r>
        <w:rPr>
          <w:rFonts w:hint="eastAsia" w:ascii="宋体" w:hAnsi="宋体"/>
          <w:color w:val="000000"/>
          <w:sz w:val="24"/>
          <w:highlight w:val="none"/>
          <w:lang w:val="en-US" w:eastAsia="zh-CN"/>
        </w:rPr>
        <w:t xml:space="preserve">至合同价的100%</w:t>
      </w:r>
      <w:r>
        <w:rPr>
          <w:rFonts w:hint="eastAsia" w:ascii="宋体" w:hAnsi="宋体"/>
          <w:color w:val="000000"/>
          <w:sz w:val="24"/>
          <w:highlight w:val="none"/>
          <w:lang w:val="zh-CN"/>
        </w:rPr>
        <w:t xml:space="preserve">。（期间不计利息）</w:t>
      </w:r>
      <w:r>
        <w:rPr>
          <w:bCs/>
          <w:color w:val="000000"/>
          <w:highlight w:val="none"/>
        </w:rPr>
      </w:r>
      <w:r/>
    </w:p>
    <w:p>
      <w:pPr>
        <w:pStyle w:val="809"/>
        <w:jc w:val="center"/>
        <w:widowControl/>
        <w:rPr>
          <w:b/>
          <w:color w:val="000000"/>
          <w:sz w:val="36"/>
          <w:szCs w:val="36"/>
          <w:highlight w:val="none"/>
        </w:rPr>
      </w:pPr>
      <w:r>
        <w:rPr>
          <w:b/>
          <w:color w:val="000000"/>
          <w:sz w:val="36"/>
          <w:szCs w:val="36"/>
          <w:highlight w:val="none"/>
        </w:rPr>
        <w:br w:type="page" w:clear="all"/>
      </w:r>
      <w:bookmarkStart w:id="689" w:name="_Toc104818929"/>
      <w:r>
        <w:rPr>
          <w:b/>
          <w:color w:val="000000"/>
          <w:sz w:val="36"/>
          <w:szCs w:val="36"/>
          <w:highlight w:val="none"/>
        </w:rPr>
        <w:t xml:space="preserve">第五章   合同草案条款</w:t>
      </w:r>
      <w:bookmarkEnd w:id="689"/>
      <w:r>
        <w:rPr>
          <w:b/>
          <w:color w:val="000000"/>
          <w:sz w:val="36"/>
          <w:szCs w:val="36"/>
          <w:highlight w:val="none"/>
        </w:rPr>
      </w:r>
      <w:r/>
    </w:p>
    <w:p>
      <w:pPr>
        <w:pStyle w:val="809"/>
        <w:spacing w:line="360" w:lineRule="auto"/>
        <w:rPr>
          <w:rFonts w:ascii="宋体" w:hAnsi="宋体"/>
          <w:b/>
          <w:color w:val="000000"/>
          <w:sz w:val="24"/>
          <w:highlight w:val="none"/>
          <w:u w:val="single"/>
        </w:rPr>
      </w:pPr>
      <w:r>
        <w:rPr>
          <w:rFonts w:hint="eastAsia" w:ascii="宋体" w:hAnsi="宋体"/>
          <w:b/>
          <w:color w:val="000000"/>
          <w:sz w:val="24"/>
          <w:highlight w:val="none"/>
        </w:rPr>
        <w:t xml:space="preserve">采购人</w:t>
      </w:r>
      <w:r>
        <w:rPr>
          <w:rFonts w:ascii="宋体" w:hAnsi="宋体"/>
          <w:b/>
          <w:color w:val="000000"/>
          <w:sz w:val="24"/>
          <w:highlight w:val="none"/>
        </w:rPr>
        <w:t xml:space="preserve">：</w:t>
      </w:r>
      <w:r>
        <w:rPr>
          <w:rFonts w:hint="eastAsia" w:ascii="宋体" w:hAnsi="宋体"/>
          <w:b/>
          <w:color w:val="000000"/>
          <w:sz w:val="24"/>
          <w:highlight w:val="none"/>
          <w:u w:val="single"/>
          <w:lang w:eastAsia="zh-CN"/>
        </w:rPr>
        <w:t xml:space="preserve">常州市溧阳生态环境局</w:t>
      </w:r>
      <w:r>
        <w:rPr>
          <w:rFonts w:hint="eastAsia" w:ascii="宋体" w:hAnsi="宋体"/>
          <w:b/>
          <w:color w:val="000000"/>
          <w:sz w:val="24"/>
          <w:highlight w:val="none"/>
        </w:rPr>
        <w:t xml:space="preserve">（以下简称甲方）</w:t>
      </w:r>
      <w:r>
        <w:rPr>
          <w:rFonts w:ascii="宋体" w:hAnsi="宋体"/>
          <w:b/>
          <w:color w:val="000000"/>
          <w:sz w:val="24"/>
          <w:highlight w:val="none"/>
          <w:u w:val="single"/>
        </w:rPr>
      </w:r>
      <w:r/>
    </w:p>
    <w:p>
      <w:pPr>
        <w:pStyle w:val="809"/>
        <w:spacing w:line="360" w:lineRule="auto"/>
        <w:rPr>
          <w:rFonts w:ascii="宋体" w:hAnsi="宋体"/>
          <w:b/>
          <w:color w:val="000000"/>
          <w:sz w:val="24"/>
          <w:highlight w:val="none"/>
        </w:rPr>
      </w:pPr>
      <w:r>
        <w:rPr>
          <w:rFonts w:hint="eastAsia" w:ascii="宋体" w:hAnsi="宋体"/>
          <w:b/>
          <w:color w:val="000000"/>
          <w:sz w:val="24"/>
          <w:highlight w:val="none"/>
        </w:rPr>
        <w:t xml:space="preserve">供应商</w:t>
      </w:r>
      <w:r>
        <w:rPr>
          <w:rFonts w:ascii="宋体" w:hAnsi="宋体"/>
          <w:b/>
          <w:color w:val="000000"/>
          <w:sz w:val="24"/>
          <w:highlight w:val="none"/>
        </w:rPr>
        <w:t xml:space="preserve">：</w:t>
      </w:r>
      <w:r>
        <w:rPr>
          <w:rFonts w:hint="eastAsia" w:ascii="宋体" w:hAnsi="宋体"/>
          <w:b/>
          <w:color w:val="000000"/>
          <w:sz w:val="24"/>
          <w:highlight w:val="none"/>
        </w:rPr>
        <w:t xml:space="preserve">（以下简称乙方）</w:t>
      </w:r>
      <w:r>
        <w:rPr>
          <w:rFonts w:ascii="宋体" w:hAnsi="宋体"/>
          <w:b/>
          <w:color w:val="000000"/>
          <w:sz w:val="24"/>
          <w:highlight w:val="none"/>
        </w:rPr>
      </w:r>
      <w:r/>
    </w:p>
    <w:p>
      <w:pPr>
        <w:pStyle w:val="809"/>
        <w:ind w:firstLine="480"/>
        <w:jc w:val="left"/>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根据《中华人民共和国政府采购法》、</w:t>
      </w:r>
      <w:r>
        <w:rPr>
          <w:rFonts w:ascii="宋体" w:hAnsi="宋体"/>
          <w:color w:val="000000"/>
          <w:sz w:val="24"/>
          <w:highlight w:val="none"/>
          <w:lang w:val="zh-CN"/>
        </w:rPr>
        <w:t xml:space="preserve">《中华人民共和国</w:t>
      </w:r>
      <w:r>
        <w:rPr>
          <w:rFonts w:hint="eastAsia" w:ascii="宋体" w:hAnsi="宋体"/>
          <w:color w:val="000000"/>
          <w:sz w:val="24"/>
          <w:highlight w:val="none"/>
          <w:lang w:val="zh-CN"/>
        </w:rPr>
        <w:t xml:space="preserve">民法典</w:t>
      </w:r>
      <w:r>
        <w:rPr>
          <w:rFonts w:ascii="宋体" w:hAnsi="宋体"/>
          <w:color w:val="000000"/>
          <w:sz w:val="24"/>
          <w:highlight w:val="none"/>
          <w:lang w:val="zh-CN"/>
        </w:rPr>
        <w:t xml:space="preserve">》</w:t>
      </w:r>
      <w:r>
        <w:rPr>
          <w:rFonts w:hint="eastAsia" w:ascii="宋体" w:hAnsi="宋体"/>
          <w:color w:val="000000"/>
          <w:sz w:val="24"/>
          <w:highlight w:val="none"/>
          <w:lang w:val="zh-CN"/>
        </w:rPr>
        <w:t xml:space="preserve">等法律法规的规定，甲乙双方按照</w:t>
      </w:r>
      <w:r>
        <w:rPr>
          <w:rFonts w:hint="eastAsia" w:ascii="宋体" w:hAnsi="宋体"/>
          <w:b/>
          <w:color w:val="000000"/>
          <w:sz w:val="24"/>
          <w:highlight w:val="none"/>
          <w:u w:val="single"/>
          <w:lang w:val="en-US" w:eastAsia="zh-CN"/>
        </w:rPr>
        <w:t xml:space="preserve">优先监管地块重点监测项目</w:t>
      </w:r>
      <w:r>
        <w:rPr>
          <w:rFonts w:hint="eastAsia" w:ascii="宋体" w:hAnsi="宋体"/>
          <w:color w:val="000000"/>
          <w:sz w:val="24"/>
          <w:highlight w:val="none"/>
          <w:lang w:val="zh-CN"/>
        </w:rPr>
        <w:t xml:space="preserve">的采购结果签订本合同。</w:t>
      </w:r>
      <w:r>
        <w:rPr>
          <w:rFonts w:ascii="宋体" w:hAnsi="宋体"/>
          <w:color w:val="000000"/>
          <w:sz w:val="24"/>
          <w:highlight w:val="none"/>
          <w:lang w:val="zh-CN"/>
        </w:rPr>
      </w:r>
      <w:r/>
    </w:p>
    <w:p>
      <w:pPr>
        <w:pStyle w:val="809"/>
        <w:ind w:firstLine="480"/>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第一条　采购内容</w:t>
      </w:r>
      <w:r>
        <w:rPr>
          <w:rFonts w:ascii="宋体" w:hAnsi="宋体"/>
          <w:b/>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1、项目名称（项目编号）：</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2、服务内容：</w:t>
      </w:r>
      <w:r>
        <w:rPr>
          <w:rFonts w:ascii="宋体" w:hAnsi="宋体"/>
          <w:color w:val="000000"/>
          <w:sz w:val="24"/>
          <w:highlight w:val="none"/>
        </w:rPr>
      </w:r>
      <w:r/>
    </w:p>
    <w:p>
      <w:pPr>
        <w:pStyle w:val="809"/>
        <w:ind w:firstLine="480"/>
        <w:jc w:val="left"/>
        <w:spacing w:line="360" w:lineRule="auto"/>
        <w:widowControl/>
        <w:rPr>
          <w:rFonts w:ascii="宋体" w:hAnsi="宋体" w:cs="等线"/>
          <w:color w:val="000000"/>
          <w:sz w:val="24"/>
          <w:highlight w:val="none"/>
        </w:rPr>
      </w:pPr>
      <w:r>
        <w:rPr>
          <w:rFonts w:hint="eastAsia" w:ascii="宋体" w:hAnsi="宋体"/>
          <w:color w:val="000000"/>
          <w:sz w:val="24"/>
          <w:highlight w:val="none"/>
          <w:lang w:val="zh-CN"/>
        </w:rPr>
        <w:t xml:space="preserve">3、服务期限：</w:t>
      </w:r>
      <w:r>
        <w:rPr>
          <w:rFonts w:ascii="宋体" w:hAnsi="宋体" w:cs="等线"/>
          <w:color w:val="000000"/>
          <w:sz w:val="24"/>
          <w:highlight w:val="none"/>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4、其他：无</w:t>
      </w:r>
      <w:r>
        <w:rPr>
          <w:rFonts w:ascii="宋体" w:hAnsi="宋体"/>
          <w:color w:val="000000"/>
          <w:sz w:val="24"/>
          <w:highlight w:val="none"/>
          <w:lang w:val="zh-CN"/>
        </w:rPr>
      </w:r>
      <w:r/>
    </w:p>
    <w:p>
      <w:pPr>
        <w:pStyle w:val="809"/>
        <w:ind w:firstLine="482"/>
        <w:jc w:val="left"/>
        <w:spacing w:line="360" w:lineRule="auto"/>
        <w:rPr>
          <w:rFonts w:ascii="宋体" w:hAnsi="宋体"/>
          <w:b/>
          <w:color w:val="000000"/>
          <w:sz w:val="24"/>
          <w:highlight w:val="none"/>
          <w:lang w:val="zh-CN"/>
        </w:rPr>
      </w:pPr>
      <w:r>
        <w:rPr>
          <w:rFonts w:ascii="宋体" w:hAnsi="宋体"/>
          <w:b/>
          <w:color w:val="000000"/>
          <w:sz w:val="24"/>
          <w:highlight w:val="none"/>
          <w:lang w:val="zh-CN"/>
        </w:rPr>
        <w:t xml:space="preserve">第二条　合同价款</w:t>
      </w:r>
      <w:r>
        <w:rPr>
          <w:rFonts w:ascii="宋体" w:hAnsi="宋体"/>
          <w:b/>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价款包含本次采购内容及要求和服务工作内容中的所有工作开支。不限于服务期内人工工资、保险费、餐饮费、住宿费、交通费、办公费、规费、税金等能满足项目需求的一切费用。甲方在上述合同价款之外不再向乙方支付其他任何费用。</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t xml:space="preserve">除</w:t>
      </w:r>
      <w:r>
        <w:rPr>
          <w:rFonts w:hint="eastAsia" w:ascii="宋体" w:hAnsi="宋体"/>
          <w:color w:val="000000"/>
          <w:sz w:val="24"/>
          <w:highlight w:val="none"/>
          <w:lang w:val="zh-CN"/>
        </w:rPr>
        <w:t xml:space="preserve">本合同另有约定</w:t>
      </w:r>
      <w:r>
        <w:rPr>
          <w:rFonts w:ascii="宋体" w:hAnsi="宋体"/>
          <w:color w:val="000000"/>
          <w:sz w:val="24"/>
          <w:highlight w:val="none"/>
          <w:lang w:val="zh-CN"/>
        </w:rPr>
        <w:t xml:space="preserve">外，本合同执行期间合同价款不变。</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第三条　组成本合同的有关文件</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（1）磋商文件；</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（2）响应文件；</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（3）中标（成交）通知书；</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（4）乙方在投标、评标过程中所作其它有关承诺、声明、书面澄清；</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这些文件相互说明，如果各文件存在歧义或不一致，以本合同为准。</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第四条　权利保证</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第五条　质量保证和售后服务</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1、乙方应按采购文件规定的服务要求、技术要求、质量标准向甲方提供服务，并持续改进运行工艺和运营方法，保证实现本合同规定的各项考核指标，并达到有效的国家和地方标准。</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2、乙方应按采购文件、响应文件及乙方在询标过程中做出的书面说明或承诺提供及时、快速、优质的售后服务。</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第六条　验收</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验收标准：按采购文件所规定的服务标准和乙方响应文件的承诺</w:t>
      </w:r>
      <w:r>
        <w:rPr>
          <w:rFonts w:hint="eastAsia" w:ascii="宋体" w:hAnsi="宋体"/>
          <w:color w:val="000000"/>
          <w:sz w:val="24"/>
          <w:highlight w:val="none"/>
        </w:rPr>
        <w:t xml:space="preserve">。</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第七条　付款</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2、付款方式：</w:t>
      </w:r>
      <w:r>
        <w:rPr>
          <w:rFonts w:hint="eastAsia" w:ascii="宋体" w:hAnsi="宋体"/>
          <w:color w:val="000000"/>
          <w:sz w:val="24"/>
          <w:highlight w:val="none"/>
          <w:lang w:val="en-US" w:eastAsia="zh-CN"/>
        </w:rPr>
        <w:t xml:space="preserve">供应商完成所有工作，提交合格的</w:t>
      </w:r>
      <w:r>
        <w:rPr>
          <w:rFonts w:hint="eastAsia" w:ascii="宋体" w:hAnsi="宋体"/>
          <w:color w:val="000000"/>
          <w:sz w:val="24"/>
          <w:highlight w:val="none"/>
          <w:lang w:val="zh-CN"/>
        </w:rPr>
        <w:t xml:space="preserve">分析调查报</w:t>
      </w:r>
      <w:r>
        <w:rPr>
          <w:rFonts w:hint="eastAsia" w:ascii="宋体" w:hAnsi="宋体"/>
          <w:color w:val="000000"/>
          <w:sz w:val="24"/>
          <w:highlight w:val="none"/>
          <w:lang w:val="en-US" w:eastAsia="zh-CN"/>
        </w:rPr>
        <w:t xml:space="preserve">告</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完成信息填报并通过审核</w:t>
      </w:r>
      <w:r>
        <w:rPr>
          <w:rFonts w:hint="eastAsia" w:ascii="宋体" w:hAnsi="宋体"/>
          <w:color w:val="000000"/>
          <w:sz w:val="24"/>
          <w:highlight w:val="none"/>
          <w:lang w:val="zh-CN"/>
        </w:rPr>
        <w:t xml:space="preserve">后，采购人支付</w:t>
      </w:r>
      <w:r>
        <w:rPr>
          <w:rFonts w:hint="eastAsia" w:ascii="宋体" w:hAnsi="宋体"/>
          <w:color w:val="000000"/>
          <w:sz w:val="24"/>
          <w:highlight w:val="none"/>
          <w:lang w:val="en-US" w:eastAsia="zh-CN"/>
        </w:rPr>
        <w:t xml:space="preserve">至合同价的100%</w:t>
      </w:r>
      <w:r>
        <w:rPr>
          <w:rFonts w:hint="eastAsia" w:ascii="宋体" w:hAnsi="宋体"/>
          <w:color w:val="000000"/>
          <w:sz w:val="24"/>
          <w:highlight w:val="none"/>
          <w:lang w:val="zh-CN"/>
        </w:rPr>
        <w:t xml:space="preserve">。（期间不计利息）</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第八条　违约责任</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、乙方无法完成项目的，应向甲方支付合同总价10％的违约金，同时甲方有权解除合同。</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乙方逾期开展项目的，每逾期1天应向甲方偿付逾期交付合同总额0.5％的滞纳金，但滞纳金累计不得超过逾期交付合同总额的5％；一旦滞纳金总额累计达到逾期交付合同总额的5％，甲方有权解除合同。逾期超过1年，视为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、乙方完成的项目或提供的服务不符合要求的，除按本合同约定的惩罚办法进行惩罚外，还应按照甲方选择的下列一种或多种方式承担赔偿责任：</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(1)在甲方同意延长的期限内交提供服务并承担由此给甲方造成的一切损失；逾期未完成或完成的项目仍不符合要求，乙方应向甲方支付合同总价10％的违约金，同时甲方有权解除合同；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、乙方未按规定和承诺提供伴随服务、售后服务的，应向甲方支付合同总价5％的违约金，给甲方造成的损失超过违约金的，还应赔偿甲方损失。</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、违约方承担违约责任并不影响其合同项下的义务(合同解除的除外)。</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、其他：无</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lang w:val="zh-CN"/>
        </w:rPr>
        <w:t xml:space="preserve">第九条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第十条　合同的变更和终止</w:t>
      </w:r>
      <w:r>
        <w:rPr>
          <w:rFonts w:ascii="宋体" w:hAnsi="宋体"/>
          <w:b/>
          <w:bCs/>
          <w:color w:val="000000"/>
          <w:sz w:val="24"/>
          <w:highlight w:val="none"/>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第十一条合同的终止</w:t>
      </w:r>
      <w:r>
        <w:rPr>
          <w:rFonts w:ascii="宋体" w:hAnsi="宋体"/>
          <w:b/>
          <w:bCs/>
          <w:color w:val="000000"/>
          <w:sz w:val="24"/>
          <w:highlight w:val="non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u w:val="single"/>
        </w:rPr>
        <w:t xml:space="preserve">(1)本合同正常履行完毕；</w:t>
      </w:r>
      <w:r>
        <w:rPr>
          <w:rFonts w:ascii="宋体" w:hAnsi="宋体"/>
          <w:b/>
          <w:bCs/>
          <w:color w:val="000000"/>
          <w:sz w:val="24"/>
          <w:highlight w:val="none"/>
          <w:u w:val="single"/>
        </w:rPr>
      </w:r>
      <w:r/>
    </w:p>
    <w:p>
      <w:pPr>
        <w:pStyle w:val="809"/>
        <w:ind w:firstLine="480"/>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u w:val="single"/>
        </w:rPr>
        <w:t xml:space="preserve">(2)因不可抗力导致本合同无法履行或履行不必要；</w:t>
      </w:r>
      <w:r>
        <w:rPr>
          <w:rFonts w:ascii="宋体" w:hAnsi="宋体"/>
          <w:b/>
          <w:bCs/>
          <w:color w:val="000000"/>
          <w:sz w:val="24"/>
          <w:highlight w:val="none"/>
          <w:u w:val="single"/>
        </w:rPr>
      </w:r>
      <w:r/>
    </w:p>
    <w:p>
      <w:pPr>
        <w:pStyle w:val="809"/>
        <w:ind w:firstLine="480"/>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u w:val="single"/>
        </w:rPr>
        <w:t xml:space="preserve">(3)任何一方根据本合同约定或法律规定行使解除权解除本合同；</w:t>
      </w:r>
      <w:r>
        <w:rPr>
          <w:rFonts w:ascii="宋体" w:hAnsi="宋体"/>
          <w:b/>
          <w:bCs/>
          <w:color w:val="000000"/>
          <w:sz w:val="24"/>
          <w:highlight w:val="none"/>
          <w:u w:val="single"/>
        </w:rPr>
      </w:r>
      <w:r/>
    </w:p>
    <w:p>
      <w:pPr>
        <w:pStyle w:val="809"/>
        <w:ind w:firstLine="480"/>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u w:val="single"/>
        </w:rPr>
        <w:t xml:space="preserve">(4）因相关部门要求对本合同作出重大修订或适用的中国法律发生重要变化，甲方不得进行委托或对甲方权利义务造成重大不利影响的；</w:t>
      </w:r>
      <w:r>
        <w:rPr>
          <w:rFonts w:ascii="宋体" w:hAnsi="宋体"/>
          <w:b/>
          <w:bCs/>
          <w:color w:val="000000"/>
          <w:sz w:val="24"/>
          <w:highlight w:val="none"/>
          <w:u w:val="single"/>
        </w:rPr>
      </w:r>
      <w:r/>
    </w:p>
    <w:p>
      <w:pPr>
        <w:pStyle w:val="809"/>
        <w:ind w:firstLine="480"/>
        <w:jc w:val="left"/>
        <w:spacing w:line="360" w:lineRule="auto"/>
        <w:widowControl/>
        <w:rPr>
          <w:rFonts w:ascii="宋体" w:hAnsi="宋体"/>
          <w:b/>
          <w:bCs/>
          <w:color w:val="000000"/>
          <w:sz w:val="24"/>
          <w:highlight w:val="none"/>
          <w:u w:val="single"/>
        </w:rPr>
      </w:pPr>
      <w:r>
        <w:rPr>
          <w:rFonts w:hint="eastAsia" w:ascii="宋体" w:hAnsi="宋体"/>
          <w:b/>
          <w:bCs/>
          <w:color w:val="000000"/>
          <w:sz w:val="24"/>
          <w:highlight w:val="none"/>
          <w:u w:val="single"/>
        </w:rPr>
        <w:t xml:space="preserve">(5)合同的继续履行将损害国家利益和社会公共利益。</w:t>
      </w:r>
      <w:r>
        <w:rPr>
          <w:rFonts w:ascii="宋体" w:hAnsi="宋体"/>
          <w:b/>
          <w:bCs/>
          <w:color w:val="000000"/>
          <w:sz w:val="24"/>
          <w:highlight w:val="none"/>
          <w:u w:val="single"/>
        </w:rPr>
      </w:r>
      <w:r/>
    </w:p>
    <w:p>
      <w:pPr>
        <w:pStyle w:val="80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第十二条　争议的解决</w:t>
      </w:r>
      <w:r>
        <w:rPr>
          <w:rFonts w:ascii="宋体" w:hAnsi="宋体"/>
          <w:b/>
          <w:bCs/>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b/>
          <w:bCs/>
          <w:color w:val="000000"/>
          <w:sz w:val="24"/>
          <w:highlight w:val="none"/>
          <w:u w:val="single"/>
        </w:rPr>
        <w:t xml:space="preserve">（1）</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809"/>
        <w:ind w:firstLine="480"/>
        <w:jc w:val="left"/>
        <w:spacing w:line="360" w:lineRule="auto"/>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809"/>
        <w:ind w:firstLine="480"/>
        <w:jc w:val="left"/>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zh-CN"/>
        </w:rPr>
        <w:t xml:space="preserve">第十三条　合同生效及其他</w:t>
      </w:r>
      <w:r>
        <w:rPr>
          <w:rFonts w:ascii="宋体" w:hAnsi="宋体"/>
          <w:b/>
          <w:bCs/>
          <w:color w:val="000000"/>
          <w:sz w:val="24"/>
          <w:highlight w:val="none"/>
          <w:lang w:val="zh-CN"/>
        </w:rPr>
      </w:r>
      <w:r/>
    </w:p>
    <w:p>
      <w:pPr>
        <w:pStyle w:val="809"/>
        <w:ind w:firstLine="42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1、</w:t>
      </w:r>
      <w:r>
        <w:rPr>
          <w:rFonts w:ascii="宋体" w:hAnsi="宋体" w:cs="宋体"/>
          <w:color w:val="000000"/>
          <w:sz w:val="24"/>
          <w:highlight w:val="none"/>
        </w:rPr>
        <w:t xml:space="preserve">此合同经甲乙双方签字后生效。</w:t>
      </w:r>
      <w:r>
        <w:rPr>
          <w:rFonts w:ascii="宋体" w:hAnsi="宋体" w:cs="宋体"/>
          <w:color w:val="000000"/>
          <w:sz w:val="24"/>
          <w:highlight w:val="none"/>
        </w:rPr>
      </w:r>
      <w:r/>
    </w:p>
    <w:p>
      <w:pPr>
        <w:pStyle w:val="809"/>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ascii="宋体" w:hAnsi="宋体" w:cs="宋体"/>
          <w:color w:val="000000"/>
          <w:sz w:val="24"/>
          <w:highlight w:val="none"/>
        </w:rPr>
        <w:t xml:space="preserve">此合同一式陆份，甲方叁份，乙方贰份，</w:t>
      </w:r>
      <w:r>
        <w:rPr>
          <w:rFonts w:hint="eastAsia" w:ascii="宋体" w:hAnsi="宋体" w:cs="宋体"/>
          <w:color w:val="000000"/>
          <w:sz w:val="24"/>
          <w:highlight w:val="none"/>
        </w:rPr>
        <w:t xml:space="preserve">采购代理机构</w:t>
      </w:r>
      <w:r>
        <w:rPr>
          <w:rFonts w:ascii="宋体" w:hAnsi="宋体" w:cs="宋体"/>
          <w:color w:val="000000"/>
          <w:sz w:val="24"/>
          <w:highlight w:val="none"/>
        </w:rPr>
        <w:t xml:space="preserve">壹份。</w:t>
      </w:r>
      <w:r>
        <w:rPr>
          <w:rFonts w:ascii="宋体" w:hAnsi="宋体" w:cs="宋体"/>
          <w:color w:val="000000"/>
          <w:sz w:val="24"/>
          <w:highlight w:val="none"/>
          <w:lang w:val="zh-CN"/>
        </w:rPr>
      </w:r>
      <w:r/>
    </w:p>
    <w:p>
      <w:pPr>
        <w:pStyle w:val="809"/>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3、本合同应按照中华人民共和国的现行法律进行解释。</w:t>
      </w:r>
      <w:r>
        <w:rPr>
          <w:rFonts w:ascii="宋体" w:hAnsi="宋体" w:cs="宋体"/>
          <w:color w:val="000000"/>
          <w:sz w:val="24"/>
          <w:highlight w:val="none"/>
          <w:lang w:val="zh-CN"/>
        </w:rPr>
      </w:r>
      <w:r/>
    </w:p>
    <w:p>
      <w:pPr>
        <w:pStyle w:val="809"/>
        <w:ind w:firstLine="480"/>
        <w:jc w:val="left"/>
        <w:spacing w:line="560" w:lineRule="exact"/>
        <w:widowControl/>
        <w:rPr>
          <w:rFonts w:ascii="宋体" w:hAnsi="宋体" w:cs="宋体"/>
          <w:color w:val="000000"/>
          <w:sz w:val="24"/>
          <w:highlight w:val="none"/>
        </w:rPr>
      </w:pPr>
      <w:r>
        <w:rPr>
          <w:rFonts w:ascii="宋体" w:hAnsi="宋体" w:cs="宋体"/>
          <w:color w:val="000000"/>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ascii="宋体" w:hAnsi="宋体"/>
                <w:bCs/>
                <w:color w:val="000000"/>
                <w:sz w:val="24"/>
                <w:highlight w:val="none"/>
              </w:rPr>
            </w:pPr>
            <w:r/>
            <w:bookmarkStart w:id="690" w:name="_Hlk78893919"/>
            <w:r>
              <w:rPr>
                <w:rFonts w:ascii="宋体" w:hAnsi="宋体"/>
                <w:bCs/>
                <w:color w:val="000000"/>
                <w:sz w:val="24"/>
                <w:highlight w:val="none"/>
              </w:rPr>
              <w:t xml:space="preserve">甲方（采购人）：</w:t>
            </w:r>
            <w:r>
              <w:rPr>
                <w:rFonts w:hint="eastAsia" w:ascii="宋体" w:hAnsi="宋体" w:cs="楷体"/>
                <w:color w:val="000000"/>
                <w:sz w:val="24"/>
                <w:highlight w:val="none"/>
                <w:lang w:eastAsia="zh-CN"/>
              </w:rPr>
              <w:t xml:space="preserve">常州市溧阳生态环境局</w:t>
            </w:r>
            <w:r>
              <w:rPr>
                <w:rFonts w:ascii="宋体" w:hAnsi="宋体"/>
                <w:bCs/>
                <w:color w:val="000000"/>
                <w:sz w:val="24"/>
                <w:highlight w:val="none"/>
              </w:rPr>
              <w:t xml:space="preserve">（盖章）</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09"/>
              <w:spacing w:line="56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ascii="宋体" w:hAnsi="宋体"/>
                <w:color w:val="000000"/>
                <w:sz w:val="24"/>
                <w:highlight w:val="none"/>
              </w:rPr>
            </w:pPr>
            <w:r>
              <w:rPr>
                <w:rFonts w:ascii="宋体" w:hAnsi="宋体"/>
                <w:bCs/>
                <w:color w:val="000000"/>
                <w:sz w:val="24"/>
                <w:highlight w:val="none"/>
              </w:rPr>
              <w:t xml:space="preserve">乙方（供应商）：（盖章）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ascii="宋体" w:hAnsi="宋体"/>
                <w:color w:val="000000"/>
                <w:sz w:val="24"/>
                <w:highlight w:val="none"/>
              </w:rPr>
            </w:pPr>
            <w:r>
              <w:rPr>
                <w:rFonts w:ascii="宋体" w:hAnsi="宋体"/>
                <w:bCs/>
                <w:color w:val="000000"/>
                <w:sz w:val="24"/>
                <w:highlight w:val="none"/>
              </w:rPr>
              <w:t xml:space="preserve">地址：</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09"/>
              <w:spacing w:line="56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hint="eastAsia" w:ascii="宋体" w:hAnsi="宋体" w:eastAsia="宋体"/>
                <w:color w:val="000000"/>
                <w:sz w:val="24"/>
                <w:highlight w:val="none"/>
                <w:lang w:eastAsia="zh-CN"/>
              </w:rPr>
            </w:pPr>
            <w:r>
              <w:rPr>
                <w:rFonts w:ascii="宋体" w:hAnsi="宋体"/>
                <w:bCs/>
                <w:color w:val="000000"/>
                <w:sz w:val="24"/>
                <w:highlight w:val="none"/>
              </w:rPr>
              <w:t xml:space="preserve">地址：</w:t>
            </w:r>
            <w:r>
              <w:rPr>
                <w:rFonts w:hint="eastAsia" w:ascii="宋体" w:hAnsi="宋体" w:eastAsia="宋体"/>
                <w:color w:val="000000"/>
                <w:sz w:val="24"/>
                <w:highlight w:val="none"/>
                <w:lang w:eastAsia="zh-CN"/>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ascii="宋体" w:hAnsi="宋体"/>
                <w:color w:val="000000"/>
                <w:sz w:val="24"/>
                <w:highlight w:val="none"/>
              </w:rPr>
            </w:pPr>
            <w:r>
              <w:rPr>
                <w:rFonts w:ascii="宋体" w:hAnsi="宋体"/>
                <w:bCs/>
                <w:color w:val="000000"/>
                <w:sz w:val="24"/>
                <w:highlight w:val="none"/>
              </w:rPr>
              <w:t xml:space="preserve">法定（授权）代表人：</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09"/>
              <w:spacing w:line="56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spacing w:line="560" w:lineRule="exact"/>
              <w:rPr>
                <w:rFonts w:ascii="宋体" w:hAnsi="宋体"/>
                <w:color w:val="000000"/>
                <w:sz w:val="24"/>
                <w:highlight w:val="none"/>
              </w:rPr>
            </w:pPr>
            <w:r>
              <w:rPr>
                <w:rFonts w:ascii="宋体" w:hAnsi="宋体"/>
                <w:bCs/>
                <w:color w:val="000000"/>
                <w:sz w:val="24"/>
                <w:highlight w:val="none"/>
              </w:rPr>
              <w:t xml:space="preserve">法定（授权）代表人：</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jc w:val="right"/>
              <w:spacing w:line="560" w:lineRule="exact"/>
              <w:rPr>
                <w:rFonts w:ascii="宋体" w:hAnsi="宋体"/>
                <w:color w:val="000000"/>
                <w:sz w:val="24"/>
                <w:highlight w:val="none"/>
              </w:rPr>
            </w:pPr>
            <w:r>
              <w:rPr>
                <w:rFonts w:ascii="宋体" w:hAnsi="宋体"/>
                <w:bCs/>
                <w:color w:val="000000"/>
                <w:sz w:val="24"/>
                <w:highlight w:val="none"/>
                <w:u w:val="single"/>
              </w:rPr>
              <w:t xml:space="preserve">　　　　　</w:t>
            </w:r>
            <w:r>
              <w:rPr>
                <w:rFonts w:ascii="宋体" w:hAnsi="宋体"/>
                <w:bCs/>
                <w:color w:val="000000"/>
                <w:sz w:val="24"/>
                <w:highlight w:val="none"/>
              </w:rPr>
              <w:t xml:space="preserve">年</w:t>
            </w:r>
            <w:r>
              <w:rPr>
                <w:rFonts w:ascii="宋体" w:hAnsi="宋体"/>
                <w:bCs/>
                <w:color w:val="000000"/>
                <w:sz w:val="24"/>
                <w:highlight w:val="none"/>
                <w:u w:val="single"/>
              </w:rPr>
              <w:t xml:space="preserve">　　　</w:t>
            </w:r>
            <w:r>
              <w:rPr>
                <w:rFonts w:ascii="宋体" w:hAnsi="宋体"/>
                <w:bCs/>
                <w:color w:val="000000"/>
                <w:sz w:val="24"/>
                <w:highlight w:val="none"/>
              </w:rPr>
              <w:t xml:space="preserve">月</w:t>
            </w:r>
            <w:r>
              <w:rPr>
                <w:rFonts w:ascii="宋体" w:hAnsi="宋体"/>
                <w:bCs/>
                <w:color w:val="000000"/>
                <w:sz w:val="24"/>
                <w:highlight w:val="none"/>
                <w:u w:val="single"/>
              </w:rPr>
              <w:t xml:space="preserve">　　　</w:t>
            </w:r>
            <w:r>
              <w:rPr>
                <w:rFonts w:ascii="宋体" w:hAnsi="宋体"/>
                <w:bCs/>
                <w:color w:val="000000"/>
                <w:sz w:val="24"/>
                <w:highlight w:val="none"/>
              </w:rPr>
              <w:t xml:space="preserve">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09"/>
              <w:spacing w:line="56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09"/>
              <w:jc w:val="right"/>
              <w:spacing w:line="560" w:lineRule="exact"/>
              <w:rPr>
                <w:rFonts w:ascii="宋体" w:hAnsi="宋体"/>
                <w:color w:val="000000"/>
                <w:sz w:val="24"/>
                <w:highlight w:val="none"/>
              </w:rPr>
            </w:pPr>
            <w:r>
              <w:rPr>
                <w:rFonts w:ascii="宋体" w:hAnsi="宋体"/>
                <w:bCs/>
                <w:color w:val="000000"/>
                <w:sz w:val="24"/>
                <w:highlight w:val="none"/>
                <w:u w:val="single"/>
              </w:rPr>
              <w:t xml:space="preserve">　　　　　</w:t>
            </w:r>
            <w:r>
              <w:rPr>
                <w:rFonts w:ascii="宋体" w:hAnsi="宋体"/>
                <w:bCs/>
                <w:color w:val="000000"/>
                <w:sz w:val="24"/>
                <w:highlight w:val="none"/>
              </w:rPr>
              <w:t xml:space="preserve">年</w:t>
            </w:r>
            <w:r>
              <w:rPr>
                <w:rFonts w:ascii="宋体" w:hAnsi="宋体"/>
                <w:bCs/>
                <w:color w:val="000000"/>
                <w:sz w:val="24"/>
                <w:highlight w:val="none"/>
                <w:u w:val="single"/>
              </w:rPr>
              <w:t xml:space="preserve">　　　</w:t>
            </w:r>
            <w:r>
              <w:rPr>
                <w:rFonts w:ascii="宋体" w:hAnsi="宋体"/>
                <w:bCs/>
                <w:color w:val="000000"/>
                <w:sz w:val="24"/>
                <w:highlight w:val="none"/>
              </w:rPr>
              <w:t xml:space="preserve">月</w:t>
            </w:r>
            <w:r>
              <w:rPr>
                <w:rFonts w:ascii="宋体" w:hAnsi="宋体"/>
                <w:bCs/>
                <w:color w:val="000000"/>
                <w:sz w:val="24"/>
                <w:highlight w:val="none"/>
                <w:u w:val="single"/>
              </w:rPr>
              <w:t xml:space="preserve">　　　</w:t>
            </w:r>
            <w:r>
              <w:rPr>
                <w:rFonts w:ascii="宋体" w:hAnsi="宋体"/>
                <w:bCs/>
                <w:color w:val="000000"/>
                <w:sz w:val="24"/>
                <w:highlight w:val="none"/>
              </w:rPr>
              <w:t xml:space="preserve">日</w:t>
            </w:r>
            <w:bookmarkEnd w:id="690"/>
            <w:r>
              <w:rPr>
                <w:rFonts w:ascii="宋体" w:hAnsi="宋体"/>
                <w:color w:val="000000"/>
                <w:sz w:val="24"/>
                <w:highlight w:val="none"/>
              </w:rPr>
            </w:r>
            <w:r/>
          </w:p>
        </w:tc>
      </w:tr>
    </w:tbl>
    <w:p>
      <w:pPr>
        <w:pStyle w:val="809"/>
        <w:spacing w:before="156"/>
        <w:rPr>
          <w:rFonts w:ascii="宋体" w:hAnsi="宋体" w:eastAsia="宋体" w:cs="Times New Roman"/>
          <w:b/>
          <w:color w:val="000000"/>
          <w:sz w:val="52"/>
          <w:szCs w:val="72"/>
          <w:highlight w:val="none"/>
        </w:rPr>
      </w:pPr>
      <w:r>
        <w:rPr>
          <w:rFonts w:ascii="宋体" w:hAnsi="宋体" w:eastAsia="宋体" w:cs="Times New Roman"/>
          <w:b/>
          <w:color w:val="000000"/>
          <w:sz w:val="52"/>
          <w:szCs w:val="72"/>
          <w:highlight w:val="none"/>
        </w:rPr>
      </w:r>
      <w:r/>
    </w:p>
    <w:p>
      <w:pPr>
        <w:pStyle w:val="809"/>
        <w:jc w:val="center"/>
        <w:spacing w:line="360" w:lineRule="auto"/>
        <w:rPr>
          <w:b/>
          <w:color w:val="000000"/>
          <w:sz w:val="36"/>
          <w:szCs w:val="36"/>
          <w:highlight w:val="none"/>
        </w:rPr>
        <w:outlineLvl w:val="0"/>
      </w:pPr>
      <w:r/>
      <w:bookmarkStart w:id="691" w:name="_Toc104818930"/>
      <w:r>
        <w:rPr>
          <w:b/>
          <w:color w:val="000000"/>
          <w:sz w:val="36"/>
          <w:szCs w:val="36"/>
          <w:highlight w:val="none"/>
        </w:rPr>
        <w:br w:type="page" w:clear="all"/>
      </w:r>
      <w:r>
        <w:rPr>
          <w:b/>
          <w:color w:val="000000"/>
          <w:sz w:val="36"/>
          <w:szCs w:val="36"/>
          <w:highlight w:val="none"/>
        </w:rPr>
        <w:t xml:space="preserve">第六章   响应文件格式</w:t>
      </w:r>
      <w:bookmarkEnd w:id="691"/>
      <w:r>
        <w:rPr>
          <w:b/>
          <w:color w:val="000000"/>
          <w:sz w:val="36"/>
          <w:szCs w:val="36"/>
          <w:highlight w:val="none"/>
        </w:rPr>
      </w:r>
      <w:r/>
    </w:p>
    <w:p>
      <w:pPr>
        <w:pStyle w:val="809"/>
        <w:jc w:val="left"/>
        <w:spacing w:line="360" w:lineRule="auto"/>
        <w:widowControl/>
        <w:rPr>
          <w:b/>
          <w:color w:val="000000"/>
          <w:sz w:val="24"/>
          <w:highlight w:val="none"/>
        </w:rPr>
      </w:pPr>
      <w:r>
        <w:rPr>
          <w:b/>
          <w:color w:val="000000"/>
          <w:sz w:val="24"/>
          <w:highlight w:val="none"/>
        </w:rPr>
      </w:r>
      <w:r/>
    </w:p>
    <w:p>
      <w:pPr>
        <w:pStyle w:val="809"/>
        <w:jc w:val="left"/>
        <w:spacing w:line="360" w:lineRule="auto"/>
        <w:widowControl/>
        <w:rPr>
          <w:b/>
          <w:color w:val="000000"/>
          <w:sz w:val="24"/>
          <w:highlight w:val="none"/>
        </w:rPr>
      </w:pPr>
      <w:r>
        <w:rPr>
          <w:b/>
          <w:color w:val="000000"/>
          <w:sz w:val="24"/>
          <w:highlight w:val="none"/>
        </w:rPr>
      </w:r>
      <w:r/>
    </w:p>
    <w:p>
      <w:pPr>
        <w:pStyle w:val="809"/>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809"/>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809"/>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809"/>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09"/>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09"/>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br w:type="page" w:clear="all"/>
      </w:r>
      <w:r>
        <w:rPr>
          <w:color w:val="000000"/>
          <w:sz w:val="24"/>
          <w:highlight w:val="none"/>
        </w:rPr>
      </w:r>
      <w:r/>
    </w:p>
    <w:p>
      <w:pPr>
        <w:pStyle w:val="809"/>
        <w:rPr>
          <w:b/>
          <w:color w:val="000000"/>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Cs w:val="21"/>
          <w:highlight w:val="none"/>
        </w:rPr>
      </w:r>
      <w:r/>
    </w:p>
    <w:p>
      <w:pPr>
        <w:pStyle w:val="809"/>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809"/>
        <w:jc w:val="center"/>
        <w:rPr>
          <w:color w:val="000000"/>
          <w:szCs w:val="21"/>
          <w:highlight w:val="none"/>
        </w:rPr>
      </w:pPr>
      <w:r>
        <w:rPr>
          <w:color w:val="000000"/>
          <w:szCs w:val="21"/>
          <w:highlight w:val="none"/>
        </w:rPr>
      </w:r>
      <w:r/>
    </w:p>
    <w:p>
      <w:pPr>
        <w:pStyle w:val="809"/>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809"/>
        <w:jc w:val="center"/>
        <w:rPr>
          <w:b/>
          <w:color w:val="000000"/>
          <w:spacing w:val="60"/>
          <w:sz w:val="52"/>
          <w:szCs w:val="52"/>
          <w:highlight w:val="none"/>
        </w:rPr>
      </w:pPr>
      <w:r>
        <w:rPr>
          <w:b/>
          <w:color w:val="000000"/>
          <w:spacing w:val="60"/>
          <w:sz w:val="52"/>
          <w:szCs w:val="52"/>
          <w:highlight w:val="none"/>
        </w:rPr>
      </w:r>
      <w:r/>
    </w:p>
    <w:p>
      <w:pPr>
        <w:pStyle w:val="809"/>
        <w:ind w:firstLine="542"/>
        <w:rPr>
          <w:b/>
          <w:color w:val="000000"/>
          <w:spacing w:val="20"/>
          <w:sz w:val="32"/>
          <w:szCs w:val="32"/>
          <w:highlight w:val="none"/>
        </w:rPr>
      </w:pPr>
      <w:r>
        <w:rPr>
          <w:b/>
          <w:color w:val="000000"/>
          <w:spacing w:val="20"/>
          <w:sz w:val="32"/>
          <w:szCs w:val="32"/>
          <w:highlight w:val="none"/>
        </w:rPr>
      </w:r>
      <w:r/>
    </w:p>
    <w:p>
      <w:pPr>
        <w:pStyle w:val="809"/>
        <w:ind w:firstLine="542"/>
        <w:rPr>
          <w:b/>
          <w:color w:val="000000"/>
          <w:spacing w:val="20"/>
          <w:sz w:val="32"/>
          <w:szCs w:val="32"/>
          <w:highlight w:val="none"/>
        </w:rPr>
      </w:pPr>
      <w:r>
        <w:rPr>
          <w:b/>
          <w:color w:val="000000"/>
          <w:spacing w:val="20"/>
          <w:sz w:val="32"/>
          <w:szCs w:val="32"/>
          <w:highlight w:val="none"/>
        </w:rPr>
      </w:r>
      <w:r/>
    </w:p>
    <w:p>
      <w:pPr>
        <w:pStyle w:val="80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jc w:val="center"/>
        <w:rPr>
          <w:b/>
          <w:color w:val="000000"/>
          <w:sz w:val="32"/>
          <w:szCs w:val="32"/>
          <w:highlight w:val="none"/>
        </w:rPr>
      </w:pPr>
      <w:r>
        <w:rPr>
          <w:b/>
          <w:color w:val="000000"/>
          <w:sz w:val="32"/>
          <w:szCs w:val="32"/>
          <w:highlight w:val="none"/>
        </w:rPr>
      </w:r>
      <w:r/>
    </w:p>
    <w:p>
      <w:pPr>
        <w:pStyle w:val="809"/>
        <w:rPr>
          <w:b/>
          <w:color w:val="000000"/>
          <w:highlight w:val="none"/>
        </w:rPr>
      </w:pPr>
      <w:r>
        <w:rPr>
          <w:b/>
          <w:color w:val="000000"/>
          <w:spacing w:val="20"/>
          <w:sz w:val="32"/>
          <w:szCs w:val="32"/>
          <w:highlight w:val="none"/>
        </w:rPr>
        <w:br w:type="page" w:clear="all"/>
      </w:r>
      <w:r>
        <w:rPr>
          <w:b/>
          <w:color w:val="000000"/>
          <w:highlight w:val="none"/>
        </w:rPr>
      </w:r>
      <w:r/>
    </w:p>
    <w:p>
      <w:pPr>
        <w:pStyle w:val="809"/>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812"/>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0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0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823"/>
        <w:ind w:firstLine="480"/>
        <w:spacing w:line="460" w:lineRule="exact"/>
        <w:rPr>
          <w:color w:val="000000"/>
          <w:highlight w:val="none"/>
        </w:rPr>
      </w:pPr>
      <w:r>
        <w:rPr>
          <w:color w:val="000000"/>
          <w:highlight w:val="none"/>
        </w:rPr>
      </w:r>
      <w:r/>
    </w:p>
    <w:p>
      <w:pPr>
        <w:pStyle w:val="823"/>
        <w:ind w:firstLine="480"/>
        <w:spacing w:line="460" w:lineRule="exact"/>
        <w:rPr>
          <w:color w:val="000000"/>
          <w:highlight w:val="none"/>
          <w:u w:val="single"/>
        </w:rPr>
      </w:pPr>
      <w:r>
        <w:rPr>
          <w:rFonts w:hint="eastAsia"/>
          <w:color w:val="000000"/>
          <w:highlight w:val="none"/>
        </w:rPr>
        <w:t xml:space="preserve">致：</w:t>
      </w:r>
      <w:r>
        <w:rPr>
          <w:rFonts w:hint="eastAsia"/>
          <w:color w:val="000000"/>
          <w:highlight w:val="none"/>
          <w:u w:val="single"/>
        </w:rPr>
        <w:t xml:space="preserve">（采购人名称）</w:t>
      </w:r>
      <w:r>
        <w:rPr>
          <w:color w:val="000000"/>
          <w:highlight w:val="none"/>
          <w:u w:val="single"/>
        </w:rPr>
      </w:r>
      <w:r/>
    </w:p>
    <w:p>
      <w:pPr>
        <w:pStyle w:val="823"/>
        <w:ind w:firstLine="480"/>
        <w:spacing w:line="460" w:lineRule="exact"/>
        <w:rPr>
          <w:color w:val="000000"/>
          <w:highlight w:val="none"/>
        </w:rPr>
      </w:pP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823"/>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23"/>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23"/>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23"/>
        <w:ind w:firstLine="480"/>
        <w:spacing w:line="460" w:lineRule="exact"/>
        <w:rPr>
          <w:color w:val="000000"/>
          <w:highlight w:val="none"/>
        </w:rPr>
      </w:pP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23"/>
        <w:ind w:firstLine="480"/>
        <w:spacing w:line="460" w:lineRule="exact"/>
        <w:rPr>
          <w:color w:val="000000"/>
          <w:highlight w:val="none"/>
        </w:rPr>
      </w:pPr>
      <w:r>
        <w:rPr>
          <w:color w:val="000000"/>
          <w:highlight w:val="none"/>
        </w:rPr>
      </w:r>
      <w:r/>
    </w:p>
    <w:p>
      <w:pPr>
        <w:pStyle w:val="823"/>
        <w:ind w:firstLine="480"/>
        <w:spacing w:line="460" w:lineRule="exact"/>
        <w:rPr>
          <w:color w:val="000000"/>
          <w:highlight w:val="none"/>
        </w:rPr>
      </w:pP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823"/>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23"/>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09"/>
        <w:spacing w:line="360" w:lineRule="auto"/>
        <w:rPr>
          <w:rFonts w:hint="eastAsia"/>
          <w:color w:val="000000"/>
          <w:sz w:val="24"/>
          <w:highlight w:val="none"/>
        </w:rPr>
      </w:pPr>
      <w:r>
        <w:rPr>
          <w:rFonts w:hint="eastAsia"/>
          <w:color w:val="000000"/>
          <w:sz w:val="24"/>
          <w:highlight w:val="none"/>
        </w:rPr>
      </w:r>
      <w:r/>
    </w:p>
    <w:p>
      <w:pPr>
        <w:pStyle w:val="809"/>
        <w:spacing w:line="360" w:lineRule="auto"/>
        <w:rPr>
          <w:rFonts w:hint="eastAsia"/>
          <w:color w:val="000000"/>
          <w:sz w:val="24"/>
          <w:highlight w:val="none"/>
        </w:rPr>
      </w:pPr>
      <w:r>
        <w:rPr>
          <w:rFonts w:hint="eastAsia"/>
          <w:color w:val="000000"/>
          <w:sz w:val="24"/>
          <w:highlight w:val="none"/>
        </w:rPr>
      </w:r>
      <w:r/>
    </w:p>
    <w:p>
      <w:pPr>
        <w:pStyle w:val="809"/>
        <w:spacing w:line="360" w:lineRule="auto"/>
        <w:rPr>
          <w:rFonts w:hint="eastAsia"/>
          <w:color w:val="000000"/>
          <w:sz w:val="24"/>
          <w:highlight w:val="none"/>
        </w:rPr>
      </w:pPr>
      <w:r>
        <w:rPr>
          <w:rFonts w:hint="eastAsia"/>
          <w:color w:val="000000"/>
          <w:sz w:val="24"/>
          <w:highlight w:val="none"/>
        </w:rPr>
      </w:r>
      <w:r/>
    </w:p>
    <w:p>
      <w:pPr>
        <w:pStyle w:val="809"/>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09"/>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09"/>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ascii="Times New Roman"/>
          <w:b w:val="0"/>
          <w:color w:val="000000"/>
          <w:highlight w:val="none"/>
          <w:u w:val="none"/>
        </w:rPr>
        <w:t xml:space="preserve">（实质性格式）</w:t>
      </w:r>
      <w:r>
        <w:rPr>
          <w:color w:val="000000"/>
          <w:sz w:val="24"/>
          <w:szCs w:val="20"/>
          <w:highlight w:val="none"/>
        </w:rPr>
      </w:r>
      <w:r/>
    </w:p>
    <w:p>
      <w:pPr>
        <w:pStyle w:val="809"/>
        <w:spacing w:line="360" w:lineRule="auto"/>
        <w:rPr>
          <w:color w:val="000000"/>
          <w:sz w:val="24"/>
          <w:highlight w:val="none"/>
        </w:rPr>
        <w:outlineLvl w:val="2"/>
      </w:pPr>
      <w:r>
        <w:rPr>
          <w:color w:val="000000"/>
          <w:sz w:val="24"/>
          <w:szCs w:val="20"/>
          <w:highlight w:val="none"/>
        </w:rPr>
        <w:t xml:space="preserve">2-1 中小企业声明函</w:t>
      </w:r>
      <w:r>
        <w:rPr>
          <w:color w:val="000000"/>
          <w:sz w:val="24"/>
          <w:highlight w:val="none"/>
        </w:rPr>
      </w:r>
      <w:r/>
    </w:p>
    <w:p>
      <w:pPr>
        <w:pStyle w:val="809"/>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09"/>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09"/>
        <w:ind w:right="360" w:firstLine="480"/>
        <w:jc w:val="right"/>
        <w:spacing w:line="360" w:lineRule="auto"/>
        <w:rPr>
          <w:color w:val="000000"/>
          <w:sz w:val="24"/>
          <w:highlight w:val="none"/>
        </w:rPr>
      </w:pP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9"/>
        <w:jc w:val="left"/>
        <w:rPr>
          <w:color w:val="000000"/>
          <w:sz w:val="24"/>
          <w:szCs w:val="21"/>
          <w:highlight w:val="none"/>
        </w:rPr>
      </w:pPr>
      <w:r>
        <w:rPr>
          <w:color w:val="000000"/>
          <w:sz w:val="24"/>
          <w:szCs w:val="21"/>
          <w:highlight w:val="none"/>
        </w:rPr>
      </w:r>
      <w:r/>
    </w:p>
    <w:p>
      <w:pPr>
        <w:pStyle w:val="809"/>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9"/>
        <w:jc w:val="left"/>
        <w:rPr>
          <w:color w:val="000000"/>
          <w:szCs w:val="21"/>
          <w:highlight w:val="none"/>
          <w:vertAlign w:val="superscript"/>
        </w:rPr>
      </w:pPr>
      <w:r>
        <w:rPr>
          <w:color w:val="000000"/>
          <w:szCs w:val="21"/>
          <w:highlight w:val="none"/>
          <w:vertAlign w:val="superscript"/>
        </w:rPr>
      </w:r>
      <w:r/>
    </w:p>
    <w:p>
      <w:pPr>
        <w:pStyle w:val="809"/>
        <w:ind w:right="360" w:firstLine="480"/>
        <w:jc w:val="right"/>
        <w:spacing w:line="360" w:lineRule="auto"/>
        <w:rPr>
          <w:color w:val="000000"/>
          <w:sz w:val="24"/>
          <w:highlight w:val="none"/>
        </w:rPr>
      </w:pPr>
      <w:r>
        <w:rPr>
          <w:color w:val="000000"/>
          <w:sz w:val="24"/>
          <w:highlight w:val="none"/>
        </w:rPr>
      </w:r>
      <w:r/>
    </w:p>
    <w:p>
      <w:pPr>
        <w:pStyle w:val="809"/>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09"/>
        <w:jc w:val="both"/>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09"/>
        <w:jc w:val="center"/>
        <w:spacing w:before="240" w:after="240" w:line="360" w:lineRule="auto"/>
        <w:rPr>
          <w:color w:val="000000"/>
          <w:sz w:val="24"/>
          <w:szCs w:val="20"/>
          <w:highlight w:val="none"/>
        </w:rPr>
      </w:pPr>
      <w:r>
        <w:rPr>
          <w:color w:val="000000"/>
          <w:sz w:val="24"/>
          <w:szCs w:val="20"/>
          <w:highlight w:val="none"/>
        </w:rPr>
      </w:r>
      <w:r/>
    </w:p>
    <w:p>
      <w:pPr>
        <w:pStyle w:val="809"/>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09"/>
        <w:jc w:val="center"/>
        <w:rPr>
          <w:color w:val="000000"/>
          <w:sz w:val="36"/>
          <w:szCs w:val="36"/>
          <w:highlight w:val="none"/>
        </w:rPr>
      </w:pPr>
      <w:r>
        <w:rPr>
          <w:color w:val="000000"/>
          <w:sz w:val="36"/>
          <w:szCs w:val="36"/>
          <w:highlight w:val="none"/>
        </w:rPr>
      </w:r>
      <w:r/>
    </w:p>
    <w:p>
      <w:pPr>
        <w:pStyle w:val="809"/>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9"/>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9"/>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9"/>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firstLine="504"/>
        <w:spacing w:line="588" w:lineRule="exact"/>
        <w:rPr>
          <w:color w:val="000000"/>
          <w:spacing w:val="6"/>
          <w:sz w:val="24"/>
          <w:highlight w:val="none"/>
        </w:rPr>
      </w:pPr>
      <w:r>
        <w:rPr>
          <w:color w:val="000000"/>
          <w:spacing w:val="6"/>
          <w:sz w:val="24"/>
          <w:highlight w:val="none"/>
        </w:rPr>
      </w:r>
      <w:r/>
    </w:p>
    <w:p>
      <w:pPr>
        <w:pStyle w:val="80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80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09"/>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09"/>
        <w:spacing w:line="360" w:lineRule="auto"/>
        <w:rPr>
          <w:color w:val="000000"/>
          <w:sz w:val="24"/>
          <w:szCs w:val="20"/>
          <w:highlight w:val="none"/>
        </w:rPr>
        <w:outlineLvl w:val="2"/>
      </w:pPr>
      <w:r>
        <w:rPr>
          <w:color w:val="000000"/>
          <w:sz w:val="24"/>
          <w:szCs w:val="20"/>
          <w:highlight w:val="none"/>
        </w:rPr>
        <w:t xml:space="preserve">2-3</w:t>
      </w:r>
      <w:r>
        <w:rPr>
          <w:color w:val="000000"/>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809"/>
        <w:jc w:val="left"/>
        <w:widowControl/>
        <w:rPr>
          <w:color w:val="000000"/>
          <w:sz w:val="24"/>
          <w:highlight w:val="none"/>
        </w:rPr>
      </w:pPr>
      <w:r>
        <w:rPr>
          <w:color w:val="000000"/>
          <w:sz w:val="24"/>
          <w:highlight w:val="none"/>
        </w:rPr>
      </w:r>
      <w:r/>
    </w:p>
    <w:p>
      <w:pPr>
        <w:pStyle w:val="809"/>
        <w:jc w:val="left"/>
        <w:widowControl/>
        <w:rPr>
          <w:color w:val="000000"/>
          <w:sz w:val="24"/>
          <w:highlight w:val="none"/>
        </w:rPr>
      </w:pPr>
      <w:r>
        <w:rPr>
          <w:color w:val="000000"/>
          <w:sz w:val="24"/>
          <w:highlight w:val="none"/>
        </w:rPr>
        <w:br w:type="page" w:clear="all"/>
      </w:r>
      <w:r>
        <w:rPr>
          <w:color w:val="000000"/>
          <w:sz w:val="24"/>
          <w:highlight w:val="none"/>
        </w:rPr>
      </w:r>
      <w:r/>
    </w:p>
    <w:p>
      <w:pPr>
        <w:pStyle w:val="809"/>
        <w:spacing w:line="360" w:lineRule="auto"/>
        <w:rPr>
          <w:color w:val="000000"/>
          <w:sz w:val="24"/>
          <w:szCs w:val="20"/>
          <w:highlight w:val="none"/>
        </w:rPr>
        <w:outlineLvl w:val="2"/>
      </w:pPr>
      <w:r>
        <w:rPr>
          <w:color w:val="000000"/>
          <w:sz w:val="24"/>
          <w:szCs w:val="20"/>
          <w:highlight w:val="none"/>
        </w:rPr>
        <w:t xml:space="preserve">3 </w:t>
      </w:r>
      <w:r>
        <w:rPr>
          <w:color w:val="000000"/>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809"/>
        <w:spacing w:line="360" w:lineRule="auto"/>
        <w:tabs>
          <w:tab w:val="left" w:pos="5580" w:leader="none"/>
        </w:tabs>
        <w:rPr>
          <w:color w:val="000000"/>
          <w:sz w:val="24"/>
          <w:szCs w:val="20"/>
          <w:highlight w:val="none"/>
        </w:rPr>
      </w:pPr>
      <w:r>
        <w:rPr>
          <w:color w:val="000000"/>
          <w:sz w:val="24"/>
          <w:szCs w:val="20"/>
          <w:highlight w:val="none"/>
        </w:rPr>
      </w:r>
      <w:r/>
    </w:p>
    <w:p>
      <w:pPr>
        <w:pStyle w:val="809"/>
        <w:spacing w:line="360" w:lineRule="auto"/>
        <w:rPr>
          <w:color w:val="000000"/>
          <w:sz w:val="24"/>
          <w:szCs w:val="20"/>
          <w:highlight w:val="none"/>
        </w:rPr>
        <w:outlineLvl w:val="2"/>
      </w:pPr>
      <w:r>
        <w:rPr>
          <w:b/>
          <w:color w:val="000000"/>
          <w:sz w:val="24"/>
          <w:highlight w:val="none"/>
        </w:rPr>
        <w:br w:type="page" w:clear="all"/>
      </w:r>
      <w:bookmarkStart w:id="692" w:name="_Toc226965747"/>
      <w:r/>
      <w:bookmarkStart w:id="693" w:name="_Toc480942350"/>
      <w:r/>
      <w:bookmarkStart w:id="694" w:name="_Toc265228395"/>
      <w:r/>
      <w:bookmarkStart w:id="695" w:name="_Toc226337253"/>
      <w:r/>
      <w:bookmarkStart w:id="696" w:name="_Toc150774762"/>
      <w:r/>
      <w:bookmarkStart w:id="697" w:name="_Toc264969247"/>
      <w:r/>
      <w:bookmarkStart w:id="698" w:name="_Toc150480795"/>
      <w:r/>
      <w:bookmarkStart w:id="699" w:name="_Toc142311059"/>
      <w:r/>
      <w:bookmarkStart w:id="700" w:name="_Toc520356218"/>
      <w:r/>
      <w:bookmarkStart w:id="701" w:name="_Toc195842922"/>
      <w:r/>
      <w:bookmarkStart w:id="702" w:name="_Ref467988705"/>
      <w:r/>
      <w:bookmarkStart w:id="703" w:name="_Toc226965830"/>
      <w:r/>
      <w:bookmarkStart w:id="704" w:name="_Toc305158899"/>
      <w:r/>
      <w:bookmarkStart w:id="705" w:name="_Toc305158825"/>
      <w:r/>
      <w:bookmarkStart w:id="706" w:name="_Toc127151557"/>
      <w:r/>
      <w:bookmarkStart w:id="707" w:name="_Toc226309801"/>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09"/>
        <w:spacing w:line="360" w:lineRule="auto"/>
        <w:tabs>
          <w:tab w:val="left" w:pos="5580" w:leader="none"/>
        </w:tabs>
        <w:rPr>
          <w:color w:val="000000"/>
          <w:sz w:val="24"/>
          <w:highlight w:val="none"/>
        </w:rPr>
      </w:pPr>
      <w:r>
        <w:rPr>
          <w:color w:val="000000"/>
          <w:sz w:val="24"/>
          <w:highlight w:val="none"/>
        </w:rPr>
      </w:r>
      <w:r/>
    </w:p>
    <w:p>
      <w:pPr>
        <w:pStyle w:val="809"/>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809"/>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09"/>
        <w:spacing w:line="360" w:lineRule="auto"/>
        <w:tabs>
          <w:tab w:val="left" w:pos="5580" w:leader="none"/>
        </w:tabs>
        <w:rPr>
          <w:color w:val="000000"/>
          <w:sz w:val="24"/>
          <w:szCs w:val="20"/>
          <w:highlight w:val="none"/>
        </w:rPr>
      </w:pPr>
      <w:r>
        <w:rPr>
          <w:color w:val="000000"/>
          <w:sz w:val="24"/>
          <w:szCs w:val="20"/>
          <w:highlight w:val="none"/>
        </w:rPr>
      </w:r>
      <w:r/>
    </w:p>
    <w:p>
      <w:pPr>
        <w:pStyle w:val="809"/>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09"/>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09"/>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09"/>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09"/>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09"/>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809"/>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09"/>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809"/>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9"/>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09"/>
        <w:jc w:val="left"/>
        <w:widowControl/>
        <w:rPr>
          <w:rFonts w:hint="eastAsia"/>
          <w:color w:val="000000"/>
          <w:sz w:val="24"/>
          <w:highlight w:val="none"/>
        </w:rPr>
      </w:pPr>
      <w:r/>
      <w:bookmarkStart w:id="708" w:name="_Hlt520356243"/>
      <w:r/>
      <w:bookmarkEnd w:id="708"/>
      <w:r/>
      <w:bookmarkStart w:id="709" w:name="_Hlt520355938"/>
      <w:r/>
      <w:bookmarkEnd w:id="709"/>
      <w:r>
        <w:rPr>
          <w:color w:val="000000"/>
          <w:sz w:val="24"/>
          <w:highlight w:val="none"/>
        </w:rPr>
        <w:br w:type="page" w:clear="all"/>
      </w: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ascii="宋体" w:hAnsi="宋体"/>
          <w:color w:val="000000"/>
          <w:sz w:val="24"/>
          <w:highlight w:val="none"/>
        </w:rPr>
      </w:r>
      <w:r/>
    </w:p>
    <w:p>
      <w:pPr>
        <w:pStyle w:val="84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80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9"/>
        <w:ind w:left="0" w:right="0"/>
        <w:jc w:val="center"/>
        <w:keepLines w:val="0"/>
        <w:keepNext w:val="0"/>
        <w:spacing w:before="0" w:beforeAutospacing="0" w:after="0" w:afterAutospacing="0" w:line="412" w:lineRule="auto"/>
        <w:widowControl w:val="off"/>
        <w:rPr>
          <w:rFonts w:hint="eastAsia" w:ascii="宋体" w:hAnsi="宋体" w:eastAsia="宋体" w:cs="宋体"/>
          <w:b/>
          <w:bCs w:val="0"/>
          <w:color w:val="000000"/>
          <w:sz w:val="32"/>
          <w:szCs w:val="32"/>
          <w:highlight w:val="none"/>
          <w:lang w:val="en-US" w:eastAsia="zh-CN" w:bidi="ar"/>
        </w:rPr>
        <w:suppressLineNumbers w:val="0"/>
      </w:pPr>
      <w:r>
        <w:rPr>
          <w:rFonts w:hint="eastAsia" w:ascii="宋体" w:hAnsi="宋体" w:eastAsia="宋体" w:cs="宋体"/>
          <w:b/>
          <w:bCs w:val="0"/>
          <w:color w:val="000000"/>
          <w:sz w:val="32"/>
          <w:szCs w:val="32"/>
          <w:highlight w:val="none"/>
          <w:lang w:val="en-US" w:eastAsia="zh-CN" w:bidi="ar"/>
        </w:rPr>
      </w:r>
      <w:r/>
    </w:p>
    <w:p>
      <w:pPr>
        <w:pStyle w:val="809"/>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809"/>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09"/>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09"/>
        <w:ind w:firstLine="640"/>
        <w:rPr>
          <w:color w:val="000000"/>
          <w:highlight w:val="none"/>
        </w:rPr>
      </w:pPr>
      <w:r>
        <w:rPr>
          <w:color w:val="000000"/>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5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7  报价一览表</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szCs w:val="20"/>
          <w:highlight w:val="none"/>
        </w:rPr>
      </w:r>
      <w:r/>
    </w:p>
    <w:p>
      <w:pPr>
        <w:pStyle w:val="809"/>
        <w:jc w:val="center"/>
        <w:rPr>
          <w:b/>
          <w:color w:val="000000"/>
          <w:sz w:val="36"/>
          <w:szCs w:val="36"/>
          <w:highlight w:val="none"/>
        </w:rPr>
      </w:pPr>
      <w:r/>
      <w:bookmarkStart w:id="710" w:name="_Toc264969248"/>
      <w:r/>
      <w:bookmarkStart w:id="711" w:name="_Toc226965831"/>
      <w:r/>
      <w:bookmarkStart w:id="712" w:name="_Toc226965748"/>
      <w:r/>
      <w:bookmarkStart w:id="713" w:name="_Toc265228396"/>
      <w:r/>
      <w:bookmarkStart w:id="714" w:name="_Toc305158900"/>
      <w:r/>
      <w:bookmarkStart w:id="715" w:name="_Toc195842923"/>
      <w:r/>
      <w:bookmarkStart w:id="716" w:name="_Toc226309802"/>
      <w:r/>
      <w:bookmarkStart w:id="717" w:name="_Toc226337254"/>
      <w:r/>
      <w:bookmarkStart w:id="718" w:name="_Toc164608827"/>
      <w:r/>
      <w:bookmarkStart w:id="719" w:name="_Toc164608672"/>
      <w:r/>
      <w:bookmarkStart w:id="720" w:name="_Toc305158826"/>
      <w:r>
        <w:rPr>
          <w:rFonts w:hint="eastAsia"/>
          <w:b/>
          <w:color w:val="000000"/>
          <w:sz w:val="36"/>
          <w:szCs w:val="36"/>
          <w:highlight w:val="none"/>
        </w:rPr>
        <w:t xml:space="preserve">报价一览表</w:t>
      </w:r>
      <w:bookmarkEnd w:id="710"/>
      <w:r/>
      <w:bookmarkEnd w:id="711"/>
      <w:r/>
      <w:bookmarkEnd w:id="712"/>
      <w:r/>
      <w:bookmarkEnd w:id="713"/>
      <w:r/>
      <w:bookmarkEnd w:id="714"/>
      <w:r/>
      <w:bookmarkEnd w:id="715"/>
      <w:r/>
      <w:bookmarkEnd w:id="716"/>
      <w:r/>
      <w:bookmarkEnd w:id="717"/>
      <w:r/>
      <w:bookmarkEnd w:id="718"/>
      <w:r/>
      <w:bookmarkEnd w:id="719"/>
      <w:r/>
      <w:bookmarkEnd w:id="720"/>
      <w:r>
        <w:rPr>
          <w:b/>
          <w:color w:val="000000"/>
          <w:sz w:val="36"/>
          <w:szCs w:val="36"/>
          <w:highlight w:val="none"/>
        </w:rPr>
      </w:r>
      <w:r/>
    </w:p>
    <w:p>
      <w:pPr>
        <w:pStyle w:val="809"/>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809"/>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504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2"/>
        <w:gridCol w:w="3809"/>
        <w:gridCol w:w="2376"/>
        <w:gridCol w:w="2299"/>
      </w:tblGrid>
      <w:tr>
        <w:trPr>
          <w:trHeight w:val="531"/>
        </w:trPr>
        <w:tc>
          <w:tcPr>
            <w:tcW w:w="367" w:type="dxa"/>
            <w:vAlign w:val="center"/>
            <w:vMerge w:val="restart"/>
            <w:textDirection w:val="lrTb"/>
            <w:noWrap w:val="false"/>
          </w:tcPr>
          <w:p>
            <w:pPr>
              <w:pStyle w:val="809"/>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079" w:type="dxa"/>
            <w:vAlign w:val="center"/>
            <w:vMerge w:val="restart"/>
            <w:textDirection w:val="lrTb"/>
            <w:noWrap w:val="false"/>
          </w:tcPr>
          <w:p>
            <w:pPr>
              <w:pStyle w:val="809"/>
              <w:jc w:val="center"/>
              <w:tabs>
                <w:tab w:val="left" w:pos="5580" w:leader="none"/>
              </w:tabs>
              <w:rPr>
                <w:b/>
                <w:color w:val="000000"/>
                <w:sz w:val="24"/>
                <w:highlight w:val="none"/>
              </w:rPr>
            </w:pPr>
            <w:r>
              <w:rPr>
                <w:rFonts w:hint="eastAsia"/>
                <w:b/>
                <w:color w:val="000000"/>
                <w:sz w:val="24"/>
                <w:highlight w:val="none"/>
              </w:rPr>
              <w:t xml:space="preserve">供应商</w:t>
            </w:r>
            <w:r>
              <w:rPr>
                <w:b/>
                <w:color w:val="000000"/>
                <w:sz w:val="24"/>
                <w:highlight w:val="none"/>
              </w:rPr>
              <w:t xml:space="preserve">名称</w:t>
            </w:r>
            <w:r>
              <w:rPr>
                <w:b/>
                <w:color w:val="000000"/>
                <w:sz w:val="24"/>
                <w:highlight w:val="none"/>
              </w:rPr>
            </w:r>
            <w:r/>
          </w:p>
        </w:tc>
        <w:tc>
          <w:tcPr>
            <w:gridSpan w:val="2"/>
            <w:tcW w:w="4675" w:type="dxa"/>
            <w:vAlign w:val="center"/>
            <w:textDirection w:val="lrTb"/>
            <w:noWrap w:val="false"/>
          </w:tcPr>
          <w:p>
            <w:pPr>
              <w:pStyle w:val="809"/>
              <w:jc w:val="center"/>
              <w:tabs>
                <w:tab w:val="left" w:pos="5580" w:leader="none"/>
              </w:tabs>
              <w:rPr>
                <w:b/>
                <w:color w:val="000000"/>
                <w:sz w:val="24"/>
                <w:highlight w:val="none"/>
              </w:rPr>
            </w:pPr>
            <w:r>
              <w:rPr>
                <w:b/>
                <w:color w:val="000000"/>
                <w:sz w:val="24"/>
                <w:highlight w:val="none"/>
              </w:rPr>
              <w:t xml:space="preserve">报价</w:t>
            </w:r>
            <w:r>
              <w:rPr>
                <w:b/>
                <w:color w:val="000000"/>
                <w:sz w:val="24"/>
                <w:highlight w:val="none"/>
              </w:rPr>
            </w:r>
            <w:r/>
          </w:p>
        </w:tc>
      </w:tr>
      <w:tr>
        <w:trPr>
          <w:trHeight w:val="674"/>
        </w:trPr>
        <w:tc>
          <w:tcPr>
            <w:tcW w:w="367"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2079" w:type="dxa"/>
            <w:vAlign w:val="center"/>
            <w:vMerge w:val="continue"/>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97" w:type="dxa"/>
            <w:vAlign w:val="center"/>
            <w:textDirection w:val="lrTb"/>
            <w:noWrap w:val="false"/>
          </w:tcPr>
          <w:p>
            <w:pPr>
              <w:pStyle w:val="809"/>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255" w:type="dxa"/>
            <w:vAlign w:val="center"/>
            <w:textDirection w:val="lrTb"/>
            <w:noWrap w:val="false"/>
          </w:tcPr>
          <w:p>
            <w:pPr>
              <w:pStyle w:val="809"/>
              <w:jc w:val="center"/>
              <w:tabs>
                <w:tab w:val="left" w:pos="5580" w:leader="none"/>
              </w:tabs>
              <w:rPr>
                <w:b/>
                <w:color w:val="000000"/>
                <w:sz w:val="24"/>
                <w:highlight w:val="none"/>
              </w:rPr>
            </w:pPr>
            <w:r>
              <w:rPr>
                <w:b/>
                <w:color w:val="000000"/>
                <w:sz w:val="24"/>
                <w:highlight w:val="none"/>
              </w:rPr>
              <w:t xml:space="preserve">小写</w:t>
            </w:r>
            <w:r>
              <w:rPr>
                <w:rFonts w:hint="eastAsia"/>
                <w:b/>
                <w:color w:val="000000"/>
                <w:sz w:val="24"/>
                <w:highlight w:val="none"/>
              </w:rPr>
              <w:t xml:space="preserve">（元）</w:t>
            </w:r>
            <w:r>
              <w:rPr>
                <w:b/>
                <w:color w:val="000000"/>
                <w:sz w:val="24"/>
                <w:highlight w:val="none"/>
              </w:rPr>
            </w:r>
            <w:r/>
          </w:p>
        </w:tc>
      </w:tr>
      <w:tr>
        <w:trPr>
          <w:trHeight w:val="1363"/>
        </w:trPr>
        <w:tc>
          <w:tcPr>
            <w:tcW w:w="367" w:type="dxa"/>
            <w:vAlign w:val="center"/>
            <w:textDirection w:val="lrTb"/>
            <w:noWrap w:val="false"/>
          </w:tcPr>
          <w:p>
            <w:pPr>
              <w:pStyle w:val="809"/>
              <w:jc w:val="center"/>
              <w:tabs>
                <w:tab w:val="left" w:pos="5580" w:leader="none"/>
              </w:tabs>
              <w:rPr>
                <w:color w:val="000000"/>
                <w:sz w:val="24"/>
                <w:highlight w:val="none"/>
              </w:rPr>
            </w:pPr>
            <w:r>
              <w:rPr>
                <w:rFonts w:hint="eastAsia"/>
                <w:color w:val="000000"/>
                <w:sz w:val="24"/>
                <w:highlight w:val="none"/>
              </w:rPr>
              <w:t xml:space="preserve">1</w:t>
            </w:r>
            <w:r>
              <w:rPr>
                <w:color w:val="000000"/>
                <w:sz w:val="24"/>
                <w:highlight w:val="none"/>
              </w:rPr>
            </w:r>
            <w:r/>
          </w:p>
        </w:tc>
        <w:tc>
          <w:tcPr>
            <w:tcW w:w="2079"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97"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c>
          <w:tcPr>
            <w:tcW w:w="1255" w:type="dxa"/>
            <w:vAlign w:val="center"/>
            <w:textDirection w:val="lrTb"/>
            <w:noWrap w:val="false"/>
          </w:tcPr>
          <w:p>
            <w:pPr>
              <w:pStyle w:val="809"/>
              <w:jc w:val="center"/>
              <w:tabs>
                <w:tab w:val="left" w:pos="5580" w:leader="none"/>
              </w:tabs>
              <w:rPr>
                <w:color w:val="000000"/>
                <w:sz w:val="24"/>
                <w:highlight w:val="none"/>
              </w:rPr>
            </w:pPr>
            <w:r>
              <w:rPr>
                <w:color w:val="000000"/>
                <w:sz w:val="24"/>
                <w:highlight w:val="none"/>
              </w:rPr>
            </w:r>
            <w:r/>
          </w:p>
        </w:tc>
      </w:tr>
    </w:tbl>
    <w:p>
      <w:pPr>
        <w:pStyle w:val="809"/>
        <w:jc w:val="left"/>
        <w:rPr>
          <w:color w:val="000000"/>
          <w:sz w:val="24"/>
          <w:highlight w:val="none"/>
        </w:rPr>
      </w:pPr>
      <w:r>
        <w:rPr>
          <w:color w:val="000000"/>
          <w:sz w:val="24"/>
          <w:highlight w:val="none"/>
        </w:rPr>
      </w:r>
      <w:r/>
    </w:p>
    <w:p>
      <w:pPr>
        <w:pStyle w:val="809"/>
        <w:jc w:val="left"/>
        <w:rPr>
          <w:color w:val="000000"/>
          <w:sz w:val="24"/>
          <w:highlight w:val="none"/>
        </w:rPr>
      </w:pPr>
      <w:r>
        <w:rPr>
          <w:color w:val="000000"/>
          <w:sz w:val="24"/>
          <w:highlight w:val="none"/>
        </w:rPr>
      </w:r>
      <w:r/>
    </w:p>
    <w:p>
      <w:pPr>
        <w:pStyle w:val="809"/>
        <w:jc w:val="left"/>
        <w:rPr>
          <w:color w:val="000000"/>
          <w:sz w:val="24"/>
          <w:highlight w:val="none"/>
        </w:rPr>
      </w:pPr>
      <w:r>
        <w:rPr>
          <w:color w:val="000000"/>
          <w:sz w:val="24"/>
          <w:highlight w:val="none"/>
        </w:rPr>
      </w:r>
      <w:r/>
    </w:p>
    <w:p>
      <w:pPr>
        <w:pStyle w:val="809"/>
        <w:jc w:val="left"/>
        <w:rPr>
          <w:color w:val="000000"/>
          <w:sz w:val="24"/>
          <w:szCs w:val="20"/>
          <w:highlight w:val="none"/>
        </w:rPr>
      </w:pPr>
      <w:r>
        <w:rPr>
          <w:color w:val="000000"/>
          <w:sz w:val="24"/>
          <w:highlight w:val="none"/>
        </w:rPr>
        <w:t xml:space="preserve">注：1</w:t>
      </w:r>
      <w:r>
        <w:rPr>
          <w:color w:val="000000"/>
          <w:sz w:val="24"/>
          <w:szCs w:val="20"/>
          <w:highlight w:val="none"/>
        </w:rPr>
        <w:t xml:space="preserve">.本表必须按包分别填写。</w:t>
      </w:r>
      <w:r>
        <w:rPr>
          <w:color w:val="000000"/>
          <w:sz w:val="24"/>
          <w:szCs w:val="20"/>
          <w:highlight w:val="none"/>
        </w:rPr>
      </w:r>
      <w:r/>
    </w:p>
    <w:p>
      <w:pPr>
        <w:pStyle w:val="809"/>
        <w:spacing w:before="25" w:after="25" w:line="360" w:lineRule="auto"/>
        <w:rPr>
          <w:color w:val="000000"/>
          <w:sz w:val="24"/>
          <w:highlight w:val="none"/>
          <w:lang w:val="zh-CN"/>
        </w:rPr>
      </w:pP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spacing w:line="360" w:lineRule="auto"/>
        <w:rPr>
          <w:color w:val="000000"/>
          <w:sz w:val="24"/>
          <w:szCs w:val="20"/>
          <w:highlight w:val="none"/>
        </w:rPr>
        <w:outlineLvl w:val="2"/>
      </w:pPr>
      <w:r/>
      <w:bookmarkStart w:id="721" w:name="_Toc127151558"/>
      <w:r/>
      <w:bookmarkStart w:id="722" w:name="_Toc264969249"/>
      <w:r/>
      <w:bookmarkStart w:id="723" w:name="_Toc226965832"/>
      <w:r/>
      <w:bookmarkStart w:id="724" w:name="_Toc226965749"/>
      <w:r/>
      <w:bookmarkStart w:id="725" w:name="_Toc265228397"/>
      <w:r/>
      <w:bookmarkStart w:id="726" w:name="_Toc195842924"/>
      <w:r/>
      <w:bookmarkStart w:id="727" w:name="_Toc226309803"/>
      <w:r/>
      <w:bookmarkStart w:id="728" w:name="_Toc142311060"/>
      <w:r/>
      <w:bookmarkStart w:id="729" w:name="_Toc150480796"/>
      <w:r/>
      <w:bookmarkStart w:id="730" w:name="_Toc226337255"/>
      <w:r/>
      <w:bookmarkStart w:id="731" w:name="_Toc150774763"/>
      <w:r/>
      <w:bookmarkStart w:id="732" w:name="_Toc305158827"/>
      <w:r/>
      <w:bookmarkStart w:id="733" w:name="_Toc305158901"/>
      <w:r>
        <w:rPr>
          <w:color w:val="000000"/>
          <w:sz w:val="24"/>
          <w:szCs w:val="20"/>
          <w:highlight w:val="none"/>
        </w:rPr>
        <w:br w:type="page" w:clear="all"/>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Start w:id="734" w:name="_Toc226309806"/>
      <w:r/>
      <w:bookmarkStart w:id="735" w:name="_Toc150480798"/>
      <w:r/>
      <w:bookmarkStart w:id="736" w:name="_Toc150774765"/>
      <w:r/>
      <w:bookmarkStart w:id="737" w:name="_Toc226337258"/>
      <w:r/>
      <w:bookmarkStart w:id="738" w:name="_Toc226965835"/>
      <w:r/>
      <w:bookmarkStart w:id="739" w:name="_Toc305158904"/>
      <w:r/>
      <w:bookmarkStart w:id="740" w:name="_Toc226965752"/>
      <w:r/>
      <w:bookmarkStart w:id="741" w:name="_Toc305158830"/>
      <w:r/>
      <w:bookmarkStart w:id="742" w:name="_Toc195842927"/>
      <w:r/>
      <w:bookmarkStart w:id="743" w:name="_Toc142311062"/>
      <w:r/>
      <w:bookmarkStart w:id="744" w:name="_Toc127151562"/>
      <w:r/>
      <w:bookmarkStart w:id="745" w:name="_Toc265228400"/>
      <w:r/>
      <w:bookmarkStart w:id="746" w:name="_Toc264969252"/>
      <w:r/>
      <w:bookmarkStart w:id="747" w:name="_Toc150774764"/>
      <w:r/>
      <w:bookmarkStart w:id="748" w:name="_Toc305158903"/>
      <w:r/>
      <w:bookmarkStart w:id="749" w:name="_Toc226965751"/>
      <w:r/>
      <w:bookmarkStart w:id="750" w:name="_Toc150480797"/>
      <w:r/>
      <w:bookmarkStart w:id="751" w:name="_Toc226337257"/>
      <w:r/>
      <w:bookmarkStart w:id="752" w:name="_Toc264969251"/>
      <w:r/>
      <w:bookmarkStart w:id="753" w:name="_Toc226965834"/>
      <w:r/>
      <w:bookmarkStart w:id="754" w:name="_Toc265228399"/>
      <w:r/>
      <w:bookmarkStart w:id="755" w:name="_Toc305158829"/>
      <w:r/>
      <w:bookmarkStart w:id="756" w:name="_Toc142311061"/>
      <w:r/>
      <w:bookmarkStart w:id="757" w:name="_Toc226309805"/>
      <w:r/>
      <w:bookmarkStart w:id="758" w:name="_Toc127151561"/>
      <w:r/>
      <w:bookmarkStart w:id="759" w:name="_Toc195842926"/>
      <w:r>
        <w:rPr>
          <w:color w:val="000000"/>
          <w:sz w:val="24"/>
          <w:szCs w:val="20"/>
          <w:highlight w:val="none"/>
        </w:rPr>
        <w:t xml:space="preserve">8  分项报价表</w:t>
      </w:r>
      <w:r>
        <w:rPr>
          <w:color w:val="000000"/>
          <w:sz w:val="24"/>
          <w:szCs w:val="20"/>
          <w:highlight w:val="none"/>
        </w:rPr>
      </w:r>
      <w:r/>
    </w:p>
    <w:p>
      <w:pPr>
        <w:pStyle w:val="809"/>
        <w:jc w:val="center"/>
        <w:spacing w:line="360" w:lineRule="exact"/>
        <w:rPr>
          <w:color w:val="000000"/>
          <w:sz w:val="36"/>
          <w:szCs w:val="36"/>
          <w:highlight w:val="none"/>
        </w:rPr>
      </w:pPr>
      <w:r>
        <w:rPr>
          <w:color w:val="000000"/>
          <w:sz w:val="36"/>
          <w:szCs w:val="36"/>
          <w:highlight w:val="none"/>
        </w:rPr>
      </w:r>
      <w:r/>
    </w:p>
    <w:p>
      <w:pPr>
        <w:pStyle w:val="809"/>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809"/>
        <w:jc w:val="center"/>
        <w:spacing w:line="260" w:lineRule="exact"/>
        <w:rPr>
          <w:color w:val="000000"/>
          <w:sz w:val="36"/>
          <w:szCs w:val="36"/>
          <w:highlight w:val="none"/>
        </w:rPr>
      </w:pPr>
      <w:r>
        <w:rPr>
          <w:color w:val="000000"/>
          <w:sz w:val="36"/>
          <w:szCs w:val="36"/>
          <w:highlight w:val="none"/>
        </w:rPr>
      </w:r>
      <w:r/>
    </w:p>
    <w:p>
      <w:pPr>
        <w:pStyle w:val="809"/>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892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741"/>
        <w:gridCol w:w="2443"/>
        <w:gridCol w:w="971"/>
        <w:gridCol w:w="1088"/>
        <w:gridCol w:w="1450"/>
        <w:gridCol w:w="1486"/>
      </w:tblGrid>
      <w:tr>
        <w:trPr>
          <w:trHeight w:val="602"/>
        </w:trPr>
        <w:tc>
          <w:tcPr>
            <w:tcW w:w="741" w:type="dxa"/>
            <w:vAlign w:val="center"/>
            <w:textDirection w:val="lrTb"/>
            <w:noWrap w:val="false"/>
          </w:tcPr>
          <w:p>
            <w:pPr>
              <w:pStyle w:val="809"/>
              <w:jc w:val="center"/>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序号</w:t>
            </w:r>
            <w:r>
              <w:rPr>
                <w:rFonts w:hint="eastAsia" w:ascii="宋体" w:hAnsi="宋体" w:eastAsia="宋体" w:cs="宋体"/>
                <w:b/>
                <w:bCs/>
                <w:color w:val="000000"/>
                <w:sz w:val="24"/>
                <w:highlight w:val="none"/>
                <w:lang w:val="en-US" w:eastAsia="zh-CN"/>
              </w:rPr>
            </w:r>
            <w:r/>
          </w:p>
        </w:tc>
        <w:tc>
          <w:tcPr>
            <w:tcW w:w="741" w:type="dxa"/>
            <w:vAlign w:val="center"/>
            <w:textDirection w:val="lrTb"/>
            <w:noWrap w:val="false"/>
          </w:tcPr>
          <w:p>
            <w:pPr>
              <w:pStyle w:val="809"/>
              <w:jc w:val="center"/>
              <w:widowControl/>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标段</w:t>
            </w:r>
            <w:r>
              <w:rPr>
                <w:rFonts w:hint="eastAsia" w:ascii="宋体" w:hAnsi="宋体" w:eastAsia="宋体" w:cs="宋体"/>
                <w:b/>
                <w:bCs/>
                <w:color w:val="000000"/>
                <w:sz w:val="24"/>
                <w:highlight w:val="none"/>
                <w:lang w:eastAsia="zh-CN"/>
              </w:rPr>
            </w:r>
            <w:r/>
          </w:p>
        </w:tc>
        <w:tc>
          <w:tcPr>
            <w:tcW w:w="2443" w:type="dxa"/>
            <w:vAlign w:val="center"/>
            <w:textDirection w:val="lrTb"/>
            <w:noWrap w:val="false"/>
          </w:tcPr>
          <w:p>
            <w:pPr>
              <w:pStyle w:val="80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乡镇（地区）</w:t>
            </w:r>
            <w:r>
              <w:rPr>
                <w:rFonts w:ascii="宋体" w:hAnsi="宋体" w:cs="宋体"/>
                <w:b/>
                <w:bCs/>
                <w:color w:val="000000"/>
                <w:sz w:val="24"/>
                <w:highlight w:val="none"/>
              </w:rPr>
            </w:r>
            <w:r/>
          </w:p>
        </w:tc>
        <w:tc>
          <w:tcPr>
            <w:tcW w:w="971" w:type="dxa"/>
            <w:vAlign w:val="center"/>
            <w:textDirection w:val="lrTb"/>
            <w:noWrap w:val="false"/>
          </w:tcPr>
          <w:p>
            <w:pPr>
              <w:pStyle w:val="809"/>
              <w:jc w:val="center"/>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地块</w:t>
            </w: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c>
          <w:tcPr>
            <w:tcW w:w="1088" w:type="dxa"/>
            <w:vAlign w:val="center"/>
            <w:textDirection w:val="lrTb"/>
            <w:noWrap w:val="false"/>
          </w:tcPr>
          <w:p>
            <w:pPr>
              <w:pStyle w:val="809"/>
              <w:jc w:val="center"/>
              <w:widowControl/>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单价</w:t>
            </w:r>
            <w:r>
              <w:rPr>
                <w:rFonts w:ascii="宋体" w:hAnsi="宋体" w:eastAsia="宋体" w:cs="宋体"/>
                <w:b/>
                <w:bCs/>
                <w:color w:val="000000"/>
                <w:sz w:val="24"/>
                <w:highlight w:val="none"/>
                <w:lang w:val="en-US" w:eastAsia="zh-CN"/>
              </w:rPr>
            </w:r>
            <w:r/>
          </w:p>
        </w:tc>
        <w:tc>
          <w:tcPr>
            <w:tcW w:w="1450" w:type="dxa"/>
            <w:vAlign w:val="center"/>
            <w:textDirection w:val="lrTb"/>
            <w:noWrap w:val="false"/>
          </w:tcPr>
          <w:p>
            <w:pPr>
              <w:pStyle w:val="809"/>
              <w:jc w:val="center"/>
              <w:widowControl/>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合价</w:t>
            </w:r>
            <w:r>
              <w:rPr>
                <w:rFonts w:ascii="宋体" w:hAnsi="宋体" w:cs="宋体"/>
                <w:b/>
                <w:bCs/>
                <w:color w:val="000000"/>
                <w:sz w:val="24"/>
                <w:highlight w:val="none"/>
                <w:lang w:val="en-US" w:eastAsia="zh-CN"/>
              </w:rPr>
            </w:r>
            <w:r/>
          </w:p>
        </w:tc>
        <w:tc>
          <w:tcPr>
            <w:tcW w:w="1486" w:type="dxa"/>
            <w:vAlign w:val="center"/>
            <w:textDirection w:val="lrTb"/>
            <w:noWrap w:val="false"/>
          </w:tcPr>
          <w:p>
            <w:pPr>
              <w:pStyle w:val="809"/>
              <w:jc w:val="center"/>
              <w:widowControl/>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备注</w:t>
            </w:r>
            <w:r>
              <w:rPr>
                <w:rFonts w:ascii="宋体" w:hAnsi="宋体" w:cs="宋体"/>
                <w:b/>
                <w:bCs/>
                <w:color w:val="000000"/>
                <w:sz w:val="24"/>
                <w:highlight w:val="none"/>
                <w:lang w:val="en-US" w:eastAsia="zh-CN"/>
              </w:rPr>
            </w:r>
            <w:r/>
          </w:p>
        </w:tc>
      </w:tr>
      <w:tr>
        <w:trPr>
          <w:trHeight w:val="570"/>
        </w:trPr>
        <w:tc>
          <w:tcPr>
            <w:tcW w:w="741" w:type="dxa"/>
            <w:vAlign w:val="center"/>
            <w:textDirection w:val="lrTb"/>
            <w:noWrap w:val="false"/>
          </w:tcPr>
          <w:p>
            <w:pPr>
              <w:pStyle w:val="809"/>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741" w:type="dxa"/>
            <w:vAlign w:val="center"/>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2443"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971"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88"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5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8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r>
        <w:trPr>
          <w:trHeight w:val="570"/>
        </w:trPr>
        <w:tc>
          <w:tcPr>
            <w:tcW w:w="741" w:type="dxa"/>
            <w:vAlign w:val="center"/>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741" w:type="dxa"/>
            <w:vAlign w:val="center"/>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2443"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971"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88"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50"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486"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r>
        <w:trPr>
          <w:trHeight w:val="285"/>
        </w:trPr>
        <w:tc>
          <w:tcPr>
            <w:tcW w:w="741" w:type="dxa"/>
            <w:vAlign w:val="center"/>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741" w:type="dxa"/>
            <w:vAlign w:val="center"/>
            <w:textDirection w:val="lrTb"/>
            <w:noWrap w:val="false"/>
          </w:tcPr>
          <w:p>
            <w:pPr>
              <w:pStyle w:val="809"/>
              <w:jc w:val="center"/>
              <w:widowControl/>
              <w:rPr>
                <w:rFonts w:ascii="宋体" w:hAnsi="宋体" w:cs="宋体"/>
                <w:color w:val="000000"/>
                <w:sz w:val="24"/>
                <w:highlight w:val="none"/>
              </w:rPr>
            </w:pPr>
            <w:r>
              <w:rPr>
                <w:rFonts w:ascii="宋体" w:hAnsi="宋体" w:cs="宋体"/>
                <w:color w:val="000000"/>
                <w:sz w:val="24"/>
                <w:highlight w:val="none"/>
              </w:rPr>
            </w:r>
            <w:r/>
          </w:p>
        </w:tc>
        <w:tc>
          <w:tcPr>
            <w:tcW w:w="2443"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971" w:type="dxa"/>
            <w:vAlign w:val="center"/>
            <w:textDirection w:val="lrTb"/>
            <w:noWrap w:val="false"/>
          </w:tcPr>
          <w:p>
            <w:pPr>
              <w:pStyle w:val="809"/>
              <w:jc w:val="center"/>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88"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c>
          <w:tcPr>
            <w:tcW w:w="1450"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c>
          <w:tcPr>
            <w:tcW w:w="1486"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r>
      <w:tr>
        <w:trPr>
          <w:trHeight w:val="285"/>
        </w:trPr>
        <w:tc>
          <w:tcPr>
            <w:tcW w:w="741" w:type="dxa"/>
            <w:vAlign w:val="center"/>
            <w:textDirection w:val="lrTb"/>
            <w:noWrap w:val="false"/>
          </w:tcPr>
          <w:p>
            <w:pPr>
              <w:pStyle w:val="809"/>
              <w:jc w:val="center"/>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gridSpan w:val="3"/>
            <w:tcW w:w="4155"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合计</w:t>
            </w:r>
            <w:r>
              <w:rPr>
                <w:rFonts w:ascii="宋体" w:hAnsi="宋体" w:cs="宋体"/>
                <w:color w:val="000000"/>
                <w:sz w:val="24"/>
                <w:highlight w:val="none"/>
                <w:lang w:val="en-US" w:eastAsia="zh-CN"/>
              </w:rPr>
            </w:r>
            <w:r/>
          </w:p>
        </w:tc>
        <w:tc>
          <w:tcPr>
            <w:tcW w:w="1088" w:type="dxa"/>
            <w:vAlign w:val="center"/>
            <w:textDirection w:val="lrTb"/>
            <w:noWrap w:val="false"/>
          </w:tcPr>
          <w:p>
            <w:pPr>
              <w:pStyle w:val="809"/>
              <w:jc w:val="center"/>
              <w:widowControl/>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tc>
        <w:tc>
          <w:tcPr>
            <w:tcW w:w="1450" w:type="dxa"/>
            <w:vAlign w:val="center"/>
            <w:textDirection w:val="lrTb"/>
            <w:noWrap w:val="false"/>
          </w:tcPr>
          <w:p>
            <w:pPr>
              <w:pStyle w:val="809"/>
              <w:jc w:val="center"/>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486" w:type="dxa"/>
            <w:vAlign w:val="center"/>
            <w:textDirection w:val="lrTb"/>
            <w:noWrap w:val="false"/>
          </w:tcPr>
          <w:p>
            <w:pPr>
              <w:pStyle w:val="809"/>
              <w:jc w:val="center"/>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r>
    </w:tbl>
    <w:p>
      <w:pPr>
        <w:pStyle w:val="809"/>
        <w:jc w:val="left"/>
        <w:tabs>
          <w:tab w:val="left" w:pos="1800" w:leader="none"/>
          <w:tab w:val="left" w:pos="5580" w:leader="none"/>
        </w:tabs>
        <w:rPr>
          <w:color w:val="000000"/>
          <w:sz w:val="24"/>
          <w:highlight w:val="none"/>
        </w:rPr>
      </w:pPr>
      <w:r>
        <w:rPr>
          <w:color w:val="000000"/>
          <w:sz w:val="24"/>
          <w:highlight w:val="none"/>
        </w:rPr>
      </w:r>
      <w:r/>
    </w:p>
    <w:p>
      <w:pPr>
        <w:pStyle w:val="809"/>
        <w:jc w:val="left"/>
        <w:tabs>
          <w:tab w:val="left" w:pos="1800" w:leader="none"/>
          <w:tab w:val="left" w:pos="5580" w:leader="none"/>
        </w:tabs>
        <w:rPr>
          <w:color w:val="000000"/>
          <w:sz w:val="24"/>
          <w:highlight w:val="none"/>
        </w:rPr>
      </w:pPr>
      <w:r>
        <w:rPr>
          <w:color w:val="000000"/>
          <w:sz w:val="24"/>
          <w:highlight w:val="none"/>
        </w:rPr>
      </w:r>
      <w:r/>
    </w:p>
    <w:p>
      <w:pPr>
        <w:pStyle w:val="809"/>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809"/>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2.如果不提供分项报价将视为没有实质性响应磋商文件</w:t>
      </w:r>
      <w:r>
        <w:rPr>
          <w:color w:val="000000"/>
          <w:sz w:val="24"/>
          <w:highlight w:val="none"/>
        </w:rPr>
      </w:r>
      <w:r/>
    </w:p>
    <w:p>
      <w:pPr>
        <w:pStyle w:val="809"/>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809"/>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jc w:val="left"/>
        <w:widowControl/>
        <w:rPr>
          <w:color w:val="000000"/>
          <w:sz w:val="24"/>
          <w:szCs w:val="20"/>
          <w:highlight w:val="none"/>
        </w:rPr>
      </w:pPr>
      <w:r>
        <w:rPr>
          <w:color w:val="000000"/>
          <w:sz w:val="24"/>
          <w:szCs w:val="20"/>
          <w:highlight w:val="none"/>
        </w:rPr>
      </w:r>
      <w:r/>
    </w:p>
    <w:p>
      <w:pPr>
        <w:pStyle w:val="809"/>
        <w:jc w:val="left"/>
        <w:widowControl/>
        <w:rPr>
          <w:color w:val="000000"/>
          <w:sz w:val="24"/>
          <w:szCs w:val="20"/>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9</w:t>
      </w:r>
      <w:r>
        <w:rPr>
          <w:color w:val="000000"/>
          <w:sz w:val="24"/>
          <w:szCs w:val="20"/>
          <w:highlight w:val="none"/>
        </w:rPr>
        <w:t xml:space="preserve">合同条款偏离表</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color w:val="000000"/>
          <w:sz w:val="24"/>
          <w:szCs w:val="20"/>
          <w:highlight w:val="none"/>
        </w:rPr>
      </w:r>
      <w:r/>
    </w:p>
    <w:p>
      <w:pPr>
        <w:pStyle w:val="809"/>
        <w:spacing w:line="360" w:lineRule="auto"/>
        <w:rPr>
          <w:color w:val="000000"/>
          <w:sz w:val="24"/>
          <w:szCs w:val="20"/>
          <w:highlight w:val="none"/>
        </w:rPr>
      </w:pPr>
      <w:r>
        <w:rPr>
          <w:color w:val="000000"/>
          <w:sz w:val="24"/>
          <w:szCs w:val="20"/>
          <w:highlight w:val="none"/>
        </w:rPr>
      </w:r>
      <w:r/>
    </w:p>
    <w:p>
      <w:pPr>
        <w:pStyle w:val="809"/>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09"/>
        <w:jc w:val="center"/>
        <w:rPr>
          <w:color w:val="000000"/>
          <w:sz w:val="36"/>
          <w:szCs w:val="36"/>
          <w:highlight w:val="none"/>
        </w:rPr>
      </w:pPr>
      <w:r>
        <w:rPr>
          <w:color w:val="000000"/>
          <w:sz w:val="36"/>
          <w:szCs w:val="36"/>
          <w:highlight w:val="none"/>
        </w:rPr>
      </w:r>
      <w:r/>
    </w:p>
    <w:p>
      <w:pPr>
        <w:pStyle w:val="809"/>
        <w:spacing w:line="360" w:lineRule="auto"/>
        <w:rPr>
          <w:color w:val="000000"/>
          <w:sz w:val="24"/>
          <w:szCs w:val="20"/>
          <w:highlight w:val="none"/>
        </w:rPr>
      </w:pPr>
      <w:r>
        <w:rPr>
          <w:color w:val="000000"/>
          <w:sz w:val="24"/>
          <w:szCs w:val="20"/>
          <w:highlight w:val="none"/>
        </w:rPr>
      </w:r>
      <w:r/>
    </w:p>
    <w:p>
      <w:pPr>
        <w:pStyle w:val="809"/>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9"/>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809"/>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9"/>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809"/>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09"/>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09"/>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09"/>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809"/>
              <w:jc w:val="center"/>
              <w:rPr>
                <w:color w:val="000000"/>
                <w:sz w:val="24"/>
                <w:highlight w:val="none"/>
              </w:rPr>
            </w:pPr>
            <w:r>
              <w:rPr>
                <w:color w:val="000000"/>
                <w:sz w:val="24"/>
                <w:highlight w:val="none"/>
              </w:rPr>
              <w:t xml:space="preserve">偏离情况</w:t>
            </w:r>
            <w:r>
              <w:rPr>
                <w:color w:val="000000"/>
                <w:sz w:val="24"/>
                <w:highlight w:val="none"/>
              </w:rPr>
            </w:r>
            <w:r/>
          </w:p>
          <w:p>
            <w:pPr>
              <w:pStyle w:val="809"/>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809"/>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09"/>
              <w:jc w:val="center"/>
              <w:rPr>
                <w:color w:val="000000"/>
                <w:sz w:val="24"/>
                <w:highlight w:val="none"/>
              </w:rPr>
            </w:pPr>
            <w:r>
              <w:rPr>
                <w:color w:val="000000"/>
                <w:sz w:val="24"/>
                <w:highlight w:val="none"/>
              </w:rPr>
            </w:r>
            <w:r/>
          </w:p>
        </w:tc>
        <w:tc>
          <w:tcPr>
            <w:tcW w:w="1301" w:type="dxa"/>
            <w:vAlign w:val="center"/>
            <w:textDirection w:val="lrTb"/>
            <w:noWrap w:val="false"/>
          </w:tcPr>
          <w:p>
            <w:pPr>
              <w:pStyle w:val="809"/>
              <w:jc w:val="center"/>
              <w:rPr>
                <w:color w:val="000000"/>
                <w:sz w:val="24"/>
                <w:highlight w:val="none"/>
              </w:rPr>
            </w:pPr>
            <w:r>
              <w:rPr>
                <w:color w:val="000000"/>
                <w:sz w:val="24"/>
                <w:highlight w:val="none"/>
              </w:rPr>
            </w:r>
            <w:r/>
          </w:p>
        </w:tc>
        <w:tc>
          <w:tcPr>
            <w:tcW w:w="2007" w:type="dxa"/>
            <w:vAlign w:val="center"/>
            <w:textDirection w:val="lrTb"/>
            <w:noWrap w:val="false"/>
          </w:tcPr>
          <w:p>
            <w:pPr>
              <w:pStyle w:val="809"/>
              <w:jc w:val="center"/>
              <w:rPr>
                <w:color w:val="000000"/>
                <w:sz w:val="24"/>
                <w:highlight w:val="none"/>
              </w:rPr>
            </w:pPr>
            <w:r>
              <w:rPr>
                <w:color w:val="000000"/>
                <w:sz w:val="24"/>
                <w:highlight w:val="none"/>
              </w:rPr>
            </w:r>
            <w:r/>
          </w:p>
        </w:tc>
        <w:tc>
          <w:tcPr>
            <w:tcW w:w="2008" w:type="dxa"/>
            <w:vAlign w:val="center"/>
            <w:textDirection w:val="lrTb"/>
            <w:noWrap w:val="false"/>
          </w:tcPr>
          <w:p>
            <w:pPr>
              <w:pStyle w:val="809"/>
              <w:jc w:val="center"/>
              <w:rPr>
                <w:color w:val="000000"/>
                <w:sz w:val="24"/>
                <w:highlight w:val="none"/>
              </w:rPr>
            </w:pPr>
            <w:r>
              <w:rPr>
                <w:color w:val="000000"/>
                <w:sz w:val="24"/>
                <w:highlight w:val="none"/>
              </w:rPr>
            </w:r>
            <w:r/>
          </w:p>
        </w:tc>
        <w:tc>
          <w:tcPr>
            <w:tcW w:w="2458" w:type="dxa"/>
            <w:vAlign w:val="center"/>
            <w:textDirection w:val="lrTb"/>
            <w:noWrap w:val="false"/>
          </w:tcPr>
          <w:p>
            <w:pPr>
              <w:pStyle w:val="809"/>
              <w:jc w:val="center"/>
              <w:rPr>
                <w:color w:val="000000"/>
                <w:sz w:val="24"/>
                <w:highlight w:val="none"/>
              </w:rPr>
            </w:pPr>
            <w:r>
              <w:rPr>
                <w:color w:val="000000"/>
                <w:sz w:val="24"/>
                <w:highlight w:val="none"/>
              </w:rPr>
            </w:r>
            <w:r/>
          </w:p>
        </w:tc>
        <w:tc>
          <w:tcPr>
            <w:tcW w:w="788"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9"/>
              <w:jc w:val="center"/>
              <w:rPr>
                <w:color w:val="000000"/>
                <w:sz w:val="24"/>
                <w:highlight w:val="none"/>
              </w:rPr>
            </w:pPr>
            <w:r>
              <w:rPr>
                <w:color w:val="000000"/>
                <w:sz w:val="24"/>
                <w:highlight w:val="none"/>
              </w:rPr>
            </w:r>
            <w:r/>
          </w:p>
        </w:tc>
        <w:tc>
          <w:tcPr>
            <w:tcW w:w="1301" w:type="dxa"/>
            <w:vAlign w:val="center"/>
            <w:textDirection w:val="lrTb"/>
            <w:noWrap w:val="false"/>
          </w:tcPr>
          <w:p>
            <w:pPr>
              <w:pStyle w:val="809"/>
              <w:jc w:val="center"/>
              <w:rPr>
                <w:color w:val="000000"/>
                <w:sz w:val="24"/>
                <w:highlight w:val="none"/>
              </w:rPr>
            </w:pPr>
            <w:r>
              <w:rPr>
                <w:color w:val="000000"/>
                <w:sz w:val="24"/>
                <w:highlight w:val="none"/>
              </w:rPr>
            </w:r>
            <w:r/>
          </w:p>
        </w:tc>
        <w:tc>
          <w:tcPr>
            <w:tcW w:w="2007" w:type="dxa"/>
            <w:vAlign w:val="center"/>
            <w:textDirection w:val="lrTb"/>
            <w:noWrap w:val="false"/>
          </w:tcPr>
          <w:p>
            <w:pPr>
              <w:pStyle w:val="809"/>
              <w:jc w:val="center"/>
              <w:rPr>
                <w:color w:val="000000"/>
                <w:sz w:val="24"/>
                <w:highlight w:val="none"/>
              </w:rPr>
            </w:pPr>
            <w:r>
              <w:rPr>
                <w:color w:val="000000"/>
                <w:sz w:val="24"/>
                <w:highlight w:val="none"/>
              </w:rPr>
            </w:r>
            <w:r/>
          </w:p>
        </w:tc>
        <w:tc>
          <w:tcPr>
            <w:tcW w:w="2008" w:type="dxa"/>
            <w:vAlign w:val="center"/>
            <w:textDirection w:val="lrTb"/>
            <w:noWrap w:val="false"/>
          </w:tcPr>
          <w:p>
            <w:pPr>
              <w:pStyle w:val="809"/>
              <w:jc w:val="center"/>
              <w:rPr>
                <w:color w:val="000000"/>
                <w:sz w:val="24"/>
                <w:highlight w:val="none"/>
              </w:rPr>
            </w:pPr>
            <w:r>
              <w:rPr>
                <w:color w:val="000000"/>
                <w:sz w:val="24"/>
                <w:highlight w:val="none"/>
              </w:rPr>
            </w:r>
            <w:r/>
          </w:p>
        </w:tc>
        <w:tc>
          <w:tcPr>
            <w:tcW w:w="2458" w:type="dxa"/>
            <w:vAlign w:val="center"/>
            <w:textDirection w:val="lrTb"/>
            <w:noWrap w:val="false"/>
          </w:tcPr>
          <w:p>
            <w:pPr>
              <w:pStyle w:val="809"/>
              <w:jc w:val="center"/>
              <w:rPr>
                <w:color w:val="000000"/>
                <w:sz w:val="24"/>
                <w:highlight w:val="none"/>
              </w:rPr>
            </w:pPr>
            <w:r>
              <w:rPr>
                <w:color w:val="000000"/>
                <w:sz w:val="24"/>
                <w:highlight w:val="none"/>
              </w:rPr>
            </w:r>
            <w:r/>
          </w:p>
        </w:tc>
        <w:tc>
          <w:tcPr>
            <w:tcW w:w="788"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9"/>
              <w:jc w:val="center"/>
              <w:rPr>
                <w:color w:val="000000"/>
                <w:sz w:val="24"/>
                <w:highlight w:val="none"/>
              </w:rPr>
            </w:pPr>
            <w:r>
              <w:rPr>
                <w:color w:val="000000"/>
                <w:sz w:val="24"/>
                <w:highlight w:val="none"/>
              </w:rPr>
            </w:r>
            <w:r/>
          </w:p>
        </w:tc>
        <w:tc>
          <w:tcPr>
            <w:tcW w:w="1301" w:type="dxa"/>
            <w:vAlign w:val="center"/>
            <w:textDirection w:val="lrTb"/>
            <w:noWrap w:val="false"/>
          </w:tcPr>
          <w:p>
            <w:pPr>
              <w:pStyle w:val="809"/>
              <w:jc w:val="center"/>
              <w:rPr>
                <w:color w:val="000000"/>
                <w:sz w:val="24"/>
                <w:highlight w:val="none"/>
              </w:rPr>
            </w:pPr>
            <w:r>
              <w:rPr>
                <w:color w:val="000000"/>
                <w:sz w:val="24"/>
                <w:highlight w:val="none"/>
              </w:rPr>
            </w:r>
            <w:r/>
          </w:p>
        </w:tc>
        <w:tc>
          <w:tcPr>
            <w:tcW w:w="2007" w:type="dxa"/>
            <w:vAlign w:val="center"/>
            <w:textDirection w:val="lrTb"/>
            <w:noWrap w:val="false"/>
          </w:tcPr>
          <w:p>
            <w:pPr>
              <w:pStyle w:val="809"/>
              <w:jc w:val="center"/>
              <w:rPr>
                <w:color w:val="000000"/>
                <w:sz w:val="24"/>
                <w:highlight w:val="none"/>
              </w:rPr>
            </w:pPr>
            <w:r>
              <w:rPr>
                <w:color w:val="000000"/>
                <w:sz w:val="24"/>
                <w:highlight w:val="none"/>
              </w:rPr>
            </w:r>
            <w:r/>
          </w:p>
        </w:tc>
        <w:tc>
          <w:tcPr>
            <w:tcW w:w="2008" w:type="dxa"/>
            <w:vAlign w:val="center"/>
            <w:textDirection w:val="lrTb"/>
            <w:noWrap w:val="false"/>
          </w:tcPr>
          <w:p>
            <w:pPr>
              <w:pStyle w:val="809"/>
              <w:jc w:val="center"/>
              <w:rPr>
                <w:color w:val="000000"/>
                <w:sz w:val="24"/>
                <w:highlight w:val="none"/>
              </w:rPr>
            </w:pPr>
            <w:r>
              <w:rPr>
                <w:color w:val="000000"/>
                <w:sz w:val="24"/>
                <w:highlight w:val="none"/>
              </w:rPr>
            </w:r>
            <w:r/>
          </w:p>
        </w:tc>
        <w:tc>
          <w:tcPr>
            <w:tcW w:w="2458" w:type="dxa"/>
            <w:vAlign w:val="center"/>
            <w:textDirection w:val="lrTb"/>
            <w:noWrap w:val="false"/>
          </w:tcPr>
          <w:p>
            <w:pPr>
              <w:pStyle w:val="809"/>
              <w:jc w:val="center"/>
              <w:rPr>
                <w:color w:val="000000"/>
                <w:sz w:val="24"/>
                <w:highlight w:val="none"/>
              </w:rPr>
            </w:pPr>
            <w:r>
              <w:rPr>
                <w:color w:val="000000"/>
                <w:sz w:val="24"/>
                <w:highlight w:val="none"/>
              </w:rPr>
            </w:r>
            <w:r/>
          </w:p>
        </w:tc>
        <w:tc>
          <w:tcPr>
            <w:tcW w:w="788"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9"/>
              <w:jc w:val="center"/>
              <w:rPr>
                <w:color w:val="000000"/>
                <w:sz w:val="24"/>
                <w:highlight w:val="none"/>
              </w:rPr>
            </w:pPr>
            <w:r>
              <w:rPr>
                <w:color w:val="000000"/>
                <w:sz w:val="24"/>
                <w:highlight w:val="none"/>
              </w:rPr>
            </w:r>
            <w:r/>
          </w:p>
        </w:tc>
        <w:tc>
          <w:tcPr>
            <w:tcW w:w="1301" w:type="dxa"/>
            <w:vAlign w:val="center"/>
            <w:textDirection w:val="lrTb"/>
            <w:noWrap w:val="false"/>
          </w:tcPr>
          <w:p>
            <w:pPr>
              <w:pStyle w:val="809"/>
              <w:jc w:val="center"/>
              <w:rPr>
                <w:color w:val="000000"/>
                <w:sz w:val="24"/>
                <w:highlight w:val="none"/>
              </w:rPr>
            </w:pPr>
            <w:r>
              <w:rPr>
                <w:color w:val="000000"/>
                <w:sz w:val="24"/>
                <w:highlight w:val="none"/>
              </w:rPr>
            </w:r>
            <w:r/>
          </w:p>
        </w:tc>
        <w:tc>
          <w:tcPr>
            <w:tcW w:w="2007" w:type="dxa"/>
            <w:vAlign w:val="center"/>
            <w:textDirection w:val="lrTb"/>
            <w:noWrap w:val="false"/>
          </w:tcPr>
          <w:p>
            <w:pPr>
              <w:pStyle w:val="809"/>
              <w:jc w:val="center"/>
              <w:rPr>
                <w:color w:val="000000"/>
                <w:sz w:val="24"/>
                <w:highlight w:val="none"/>
              </w:rPr>
            </w:pPr>
            <w:r>
              <w:rPr>
                <w:color w:val="000000"/>
                <w:sz w:val="24"/>
                <w:highlight w:val="none"/>
              </w:rPr>
            </w:r>
            <w:r/>
          </w:p>
        </w:tc>
        <w:tc>
          <w:tcPr>
            <w:tcW w:w="2008" w:type="dxa"/>
            <w:vAlign w:val="center"/>
            <w:textDirection w:val="lrTb"/>
            <w:noWrap w:val="false"/>
          </w:tcPr>
          <w:p>
            <w:pPr>
              <w:pStyle w:val="809"/>
              <w:jc w:val="center"/>
              <w:rPr>
                <w:color w:val="000000"/>
                <w:sz w:val="24"/>
                <w:highlight w:val="none"/>
              </w:rPr>
            </w:pPr>
            <w:r>
              <w:rPr>
                <w:color w:val="000000"/>
                <w:sz w:val="24"/>
                <w:highlight w:val="none"/>
              </w:rPr>
            </w:r>
            <w:r/>
          </w:p>
        </w:tc>
        <w:tc>
          <w:tcPr>
            <w:tcW w:w="2458" w:type="dxa"/>
            <w:vAlign w:val="center"/>
            <w:textDirection w:val="lrTb"/>
            <w:noWrap w:val="false"/>
          </w:tcPr>
          <w:p>
            <w:pPr>
              <w:pStyle w:val="809"/>
              <w:jc w:val="center"/>
              <w:rPr>
                <w:color w:val="000000"/>
                <w:sz w:val="24"/>
                <w:highlight w:val="none"/>
              </w:rPr>
            </w:pPr>
            <w:r>
              <w:rPr>
                <w:color w:val="000000"/>
                <w:sz w:val="24"/>
                <w:highlight w:val="none"/>
              </w:rPr>
            </w:r>
            <w:r/>
          </w:p>
        </w:tc>
        <w:tc>
          <w:tcPr>
            <w:tcW w:w="788" w:type="dxa"/>
            <w:vAlign w:val="center"/>
            <w:textDirection w:val="lrTb"/>
            <w:noWrap w:val="false"/>
          </w:tcPr>
          <w:p>
            <w:pPr>
              <w:pStyle w:val="809"/>
              <w:jc w:val="center"/>
              <w:rPr>
                <w:color w:val="000000"/>
                <w:sz w:val="24"/>
                <w:highlight w:val="none"/>
              </w:rPr>
            </w:pPr>
            <w:r>
              <w:rPr>
                <w:color w:val="000000"/>
                <w:sz w:val="24"/>
                <w:highlight w:val="none"/>
              </w:rPr>
            </w:r>
            <w:r/>
          </w:p>
        </w:tc>
      </w:tr>
    </w:tbl>
    <w:p>
      <w:pPr>
        <w:pStyle w:val="809"/>
        <w:jc w:val="left"/>
        <w:tabs>
          <w:tab w:val="left" w:pos="1800" w:leader="none"/>
          <w:tab w:val="left" w:pos="5580" w:leader="none"/>
        </w:tabs>
        <w:rPr>
          <w:color w:val="000000"/>
          <w:sz w:val="24"/>
          <w:highlight w:val="none"/>
        </w:rPr>
      </w:pPr>
      <w:r>
        <w:rPr>
          <w:color w:val="000000"/>
          <w:sz w:val="24"/>
          <w:highlight w:val="none"/>
        </w:rPr>
      </w:r>
      <w:r/>
    </w:p>
    <w:p>
      <w:pPr>
        <w:pStyle w:val="809"/>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809"/>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809"/>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w:t>
      </w:r>
      <w:r>
        <w:rPr>
          <w:rFonts w:hint="eastAsia"/>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809"/>
        <w:spacing w:line="360" w:lineRule="auto"/>
        <w:rPr>
          <w:color w:val="000000"/>
          <w:sz w:val="24"/>
          <w:szCs w:val="20"/>
          <w:highlight w:val="none"/>
        </w:rPr>
      </w:pPr>
      <w:r>
        <w:rPr>
          <w:color w:val="000000"/>
          <w:sz w:val="24"/>
          <w:szCs w:val="20"/>
          <w:highlight w:val="none"/>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rPr>
          <w:color w:val="000000"/>
          <w:sz w:val="24"/>
          <w:szCs w:val="20"/>
          <w:highlight w:val="none"/>
        </w:rPr>
        <w:t xml:space="preserve">采购需求偏离表</w:t>
      </w:r>
      <w:r>
        <w:rPr>
          <w:color w:val="000000"/>
          <w:sz w:val="24"/>
          <w:szCs w:val="20"/>
          <w:highlight w:val="none"/>
        </w:rPr>
      </w:r>
      <w:r/>
    </w:p>
    <w:p>
      <w:pPr>
        <w:pStyle w:val="809"/>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09"/>
        <w:jc w:val="center"/>
        <w:rPr>
          <w:color w:val="000000"/>
          <w:sz w:val="36"/>
          <w:szCs w:val="36"/>
          <w:highlight w:val="none"/>
        </w:rPr>
      </w:pPr>
      <w:r>
        <w:rPr>
          <w:color w:val="000000"/>
          <w:sz w:val="36"/>
          <w:szCs w:val="36"/>
          <w:highlight w:val="none"/>
        </w:rPr>
      </w:r>
      <w:r/>
    </w:p>
    <w:p>
      <w:pPr>
        <w:pStyle w:val="809"/>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09"/>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809"/>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9"/>
              <w:jc w:val="left"/>
              <w:tabs>
                <w:tab w:val="left" w:pos="2430" w:leader="none"/>
              </w:tabs>
              <w:rPr>
                <w:rFonts w:hint="eastAsia" w:eastAsia="宋体"/>
                <w:color w:val="000000"/>
                <w:sz w:val="24"/>
                <w:highlight w:val="none"/>
                <w:lang w:eastAsia="zh-CN"/>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rFonts w:hint="eastAsia" w:eastAsia="宋体"/>
                <w:color w:val="000000"/>
                <w:sz w:val="24"/>
                <w:highlight w:val="none"/>
                <w:lang w:eastAsia="zh-CN"/>
              </w:rPr>
            </w:r>
            <w:r/>
          </w:p>
        </w:tc>
      </w:tr>
      <w:tr>
        <w:trPr>
          <w:trHeight w:val="1053"/>
        </w:trPr>
        <w:tc>
          <w:tcPr>
            <w:tcW w:w="775" w:type="dxa"/>
            <w:vAlign w:val="center"/>
            <w:textDirection w:val="lrTb"/>
            <w:noWrap w:val="false"/>
          </w:tcPr>
          <w:p>
            <w:pPr>
              <w:pStyle w:val="809"/>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t xml:space="preserve">偏离情况</w:t>
            </w:r>
            <w:r>
              <w:rPr>
                <w:color w:val="000000"/>
                <w:sz w:val="24"/>
                <w:highlight w:val="none"/>
              </w:rPr>
            </w:r>
            <w:r/>
          </w:p>
          <w:p>
            <w:pPr>
              <w:pStyle w:val="809"/>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9"/>
              <w:jc w:val="center"/>
              <w:rPr>
                <w:color w:val="000000"/>
                <w:sz w:val="24"/>
                <w:highlight w:val="none"/>
              </w:rPr>
            </w:pPr>
            <w:r>
              <w:rPr>
                <w:color w:val="000000"/>
                <w:sz w:val="24"/>
                <w:highlight w:val="none"/>
              </w:rPr>
            </w:r>
            <w:r/>
          </w:p>
        </w:tc>
        <w:tc>
          <w:tcPr>
            <w:tcW w:w="1482" w:type="dxa"/>
            <w:vAlign w:val="center"/>
            <w:textDirection w:val="lrTb"/>
            <w:noWrap w:val="false"/>
          </w:tcPr>
          <w:p>
            <w:pPr>
              <w:pStyle w:val="809"/>
              <w:jc w:val="center"/>
              <w:rPr>
                <w:color w:val="000000"/>
                <w:sz w:val="24"/>
                <w:highlight w:val="none"/>
              </w:rPr>
            </w:pPr>
            <w:r>
              <w:rPr>
                <w:color w:val="000000"/>
                <w:sz w:val="24"/>
                <w:highlight w:val="none"/>
              </w:rPr>
            </w:r>
            <w:r/>
          </w:p>
        </w:tc>
        <w:tc>
          <w:tcPr>
            <w:tcW w:w="2384" w:type="dxa"/>
            <w:vAlign w:val="center"/>
            <w:textDirection w:val="lrTb"/>
            <w:noWrap w:val="false"/>
          </w:tcPr>
          <w:p>
            <w:pPr>
              <w:pStyle w:val="809"/>
              <w:jc w:val="center"/>
              <w:rPr>
                <w:color w:val="000000"/>
                <w:sz w:val="24"/>
                <w:highlight w:val="none"/>
              </w:rPr>
            </w:pPr>
            <w:r>
              <w:rPr>
                <w:color w:val="000000"/>
                <w:sz w:val="24"/>
                <w:highlight w:val="none"/>
              </w:rPr>
            </w:r>
            <w:r/>
          </w:p>
        </w:tc>
        <w:tc>
          <w:tcPr>
            <w:tcW w:w="2126" w:type="dxa"/>
            <w:vAlign w:val="center"/>
            <w:textDirection w:val="lrTb"/>
            <w:noWrap w:val="false"/>
          </w:tcPr>
          <w:p>
            <w:pPr>
              <w:pStyle w:val="809"/>
              <w:jc w:val="center"/>
              <w:rPr>
                <w:color w:val="000000"/>
                <w:sz w:val="24"/>
                <w:highlight w:val="none"/>
              </w:rPr>
            </w:pPr>
            <w:r>
              <w:rPr>
                <w:color w:val="000000"/>
                <w:sz w:val="24"/>
                <w:highlight w:val="none"/>
              </w:rPr>
            </w:r>
            <w:r/>
          </w:p>
        </w:tc>
        <w:tc>
          <w:tcPr>
            <w:tcW w:w="1875" w:type="dxa"/>
            <w:vAlign w:val="center"/>
            <w:textDirection w:val="lrTb"/>
            <w:noWrap w:val="false"/>
          </w:tcPr>
          <w:p>
            <w:pPr>
              <w:pStyle w:val="809"/>
              <w:jc w:val="center"/>
              <w:rPr>
                <w:color w:val="000000"/>
                <w:sz w:val="24"/>
                <w:highlight w:val="none"/>
              </w:rPr>
            </w:pPr>
            <w:r>
              <w:rPr>
                <w:color w:val="000000"/>
                <w:sz w:val="24"/>
                <w:highlight w:val="none"/>
              </w:rPr>
            </w:r>
            <w:r/>
          </w:p>
        </w:tc>
        <w:tc>
          <w:tcPr>
            <w:tcW w:w="1009" w:type="dxa"/>
            <w:vAlign w:val="center"/>
            <w:textDirection w:val="lrTb"/>
            <w:noWrap w:val="false"/>
          </w:tcPr>
          <w:p>
            <w:pPr>
              <w:pStyle w:val="809"/>
              <w:jc w:val="center"/>
              <w:rPr>
                <w:color w:val="000000"/>
                <w:sz w:val="24"/>
                <w:highlight w:val="none"/>
              </w:rPr>
            </w:pPr>
            <w:r>
              <w:rPr>
                <w:color w:val="000000"/>
                <w:sz w:val="24"/>
                <w:highlight w:val="none"/>
              </w:rPr>
            </w:r>
            <w:r/>
          </w:p>
        </w:tc>
      </w:tr>
    </w:tbl>
    <w:p>
      <w:pPr>
        <w:pStyle w:val="809"/>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9"/>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9"/>
        <w:numPr>
          <w:ilvl w:val="0"/>
          <w:numId w:val="14"/>
        </w:numPr>
        <w:jc w:val="left"/>
        <w:tabs>
          <w:tab w:val="left" w:pos="1800" w:leader="none"/>
          <w:tab w:val="left" w:pos="5580" w:leader="none"/>
        </w:tabs>
        <w:rPr>
          <w:color w:val="000000"/>
          <w:sz w:val="24"/>
          <w:highlight w:val="none"/>
        </w:rPr>
      </w:pPr>
      <w:r>
        <w:rPr>
          <w:color w:val="000000"/>
          <w:sz w:val="24"/>
          <w:highlight w:val="none"/>
        </w:rPr>
        <w:t xml:space="preserve">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09"/>
        <w:numPr>
          <w:ilvl w:val="0"/>
          <w:numId w:val="14"/>
        </w:num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rFonts w:hint="eastAsia"/>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809"/>
        <w:jc w:val="left"/>
        <w:tabs>
          <w:tab w:val="left" w:pos="1800" w:leader="none"/>
          <w:tab w:val="left" w:pos="5580" w:leader="none"/>
        </w:tabs>
        <w:rPr>
          <w:color w:val="000000"/>
          <w:sz w:val="24"/>
          <w:highlight w:val="none"/>
        </w:rPr>
      </w:pPr>
      <w:r>
        <w:rPr>
          <w:color w:val="000000"/>
          <w:sz w:val="24"/>
          <w:highlight w:val="none"/>
        </w:rPr>
      </w:r>
      <w:r/>
    </w:p>
    <w:p>
      <w:pPr>
        <w:pStyle w:val="809"/>
        <w:rPr>
          <w:color w:val="000000"/>
          <w:sz w:val="24"/>
          <w:szCs w:val="20"/>
          <w:highlight w:val="none"/>
        </w:rPr>
      </w:pPr>
      <w:r>
        <w:rPr>
          <w:color w:val="000000"/>
          <w:sz w:val="24"/>
          <w:szCs w:val="20"/>
          <w:highlight w:val="none"/>
        </w:rPr>
      </w:r>
      <w:r/>
    </w:p>
    <w:p>
      <w:pPr>
        <w:pStyle w:val="8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spacing w:line="360" w:lineRule="auto"/>
        <w:rPr>
          <w:rFonts w:hint="eastAsia"/>
          <w:color w:val="000000"/>
          <w:sz w:val="24"/>
          <w:szCs w:val="20"/>
          <w:highlight w:val="none"/>
        </w:rPr>
        <w:outlineLvl w:val="2"/>
      </w:pPr>
      <w:r>
        <w:rPr>
          <w:rFonts w:hint="eastAsia"/>
          <w:color w:val="000000"/>
          <w:sz w:val="24"/>
          <w:szCs w:val="20"/>
          <w:highlight w:val="none"/>
        </w:rPr>
      </w:r>
      <w:r/>
    </w:p>
    <w:p>
      <w:pPr>
        <w:pStyle w:val="809"/>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w:t>
      </w:r>
      <w:r>
        <w:rPr>
          <w:rFonts w:hint="eastAsia"/>
          <w:color w:val="000000"/>
          <w:sz w:val="24"/>
          <w:szCs w:val="20"/>
          <w:highlight w:val="none"/>
        </w:rPr>
        <w:t xml:space="preserve">项目实施方案等</w:t>
      </w:r>
      <w:r>
        <w:rPr>
          <w:color w:val="000000"/>
          <w:sz w:val="24"/>
          <w:szCs w:val="20"/>
          <w:highlight w:val="none"/>
        </w:rPr>
      </w:r>
      <w:r/>
    </w:p>
    <w:p>
      <w:pPr>
        <w:pStyle w:val="809"/>
        <w:spacing w:line="360" w:lineRule="auto"/>
        <w:rPr>
          <w:rFonts w:hint="eastAsia"/>
          <w:color w:val="000000"/>
          <w:sz w:val="24"/>
          <w:szCs w:val="20"/>
          <w:highlight w:val="none"/>
        </w:rPr>
        <w:outlineLvl w:val="2"/>
      </w:pPr>
      <w:r>
        <w:rPr>
          <w:rFonts w:hint="eastAsia"/>
          <w:color w:val="000000"/>
          <w:sz w:val="24"/>
          <w:szCs w:val="20"/>
          <w:highlight w:val="none"/>
        </w:rPr>
      </w:r>
      <w:r/>
    </w:p>
    <w:p>
      <w:pPr>
        <w:pStyle w:val="809"/>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8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0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09"/>
        <w:spacing w:line="360" w:lineRule="auto"/>
        <w:rPr>
          <w:rFonts w:ascii="宋体" w:hAnsi="宋体"/>
          <w:color w:val="000000"/>
          <w:sz w:val="22"/>
          <w:highlight w:val="none"/>
        </w:rPr>
      </w:pPr>
      <w:r>
        <w:rPr>
          <w:rFonts w:ascii="宋体" w:hAnsi="宋体"/>
          <w:color w:val="000000"/>
          <w:sz w:val="22"/>
          <w:highlight w:val="none"/>
        </w:rPr>
      </w:r>
      <w:r/>
    </w:p>
    <w:p>
      <w:pPr>
        <w:pStyle w:val="8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0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809"/>
        <w:spacing w:line="360" w:lineRule="auto"/>
        <w:rPr>
          <w:rFonts w:ascii="宋体" w:hAnsi="宋体"/>
          <w:color w:val="000000"/>
          <w:sz w:val="24"/>
          <w:highlight w:val="none"/>
        </w:rPr>
      </w:pPr>
      <w:r>
        <w:rPr>
          <w:rFonts w:ascii="宋体" w:hAnsi="宋体"/>
          <w:color w:val="000000"/>
          <w:sz w:val="24"/>
          <w:highlight w:val="none"/>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rPr>
          <w:color w:val="000000"/>
          <w:sz w:val="24"/>
          <w:szCs w:val="20"/>
          <w:highlight w:val="none"/>
        </w:rPr>
      </w:pPr>
      <w:r>
        <w:rPr>
          <w:color w:val="000000"/>
          <w:sz w:val="22"/>
          <w:highlight w:val="none"/>
        </w:rPr>
        <w:br w:type="page" w:clear="all"/>
      </w:r>
      <w:bookmarkStart w:id="760" w:name="_Toc288738397"/>
      <w:r/>
      <w:bookmarkStart w:id="761"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809"/>
        <w:rPr>
          <w:color w:val="000000"/>
          <w:sz w:val="24"/>
          <w:szCs w:val="20"/>
          <w:highlight w:val="none"/>
        </w:rPr>
      </w:pPr>
      <w:r>
        <w:rPr>
          <w:color w:val="000000"/>
          <w:sz w:val="24"/>
          <w:szCs w:val="20"/>
          <w:highlight w:val="none"/>
        </w:rPr>
      </w:r>
      <w:r/>
    </w:p>
    <w:p>
      <w:pPr>
        <w:pStyle w:val="80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60"/>
      <w:r/>
      <w:bookmarkEnd w:id="761"/>
      <w:r>
        <w:rPr>
          <w:rFonts w:ascii="宋体" w:hAnsi="宋体"/>
          <w:b/>
          <w:color w:val="000000"/>
          <w:sz w:val="32"/>
          <w:szCs w:val="32"/>
          <w:highlight w:val="none"/>
        </w:rPr>
      </w:r>
      <w:r/>
    </w:p>
    <w:p>
      <w:pPr>
        <w:pStyle w:val="8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09"/>
        <w:spacing w:line="360" w:lineRule="auto"/>
        <w:rPr>
          <w:rFonts w:ascii="宋体" w:hAnsi="宋体" w:cs="宋体"/>
          <w:color w:val="000000"/>
          <w:sz w:val="24"/>
          <w:highlight w:val="none"/>
        </w:rPr>
      </w:pPr>
      <w:r>
        <w:rPr>
          <w:rFonts w:ascii="宋体" w:hAnsi="宋体" w:cs="宋体"/>
          <w:color w:val="000000"/>
          <w:sz w:val="24"/>
          <w:highlight w:val="none"/>
        </w:rPr>
      </w:r>
      <w:r/>
    </w:p>
    <w:p>
      <w:pPr>
        <w:pStyle w:val="809"/>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80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9"/>
        <w:spacing w:line="360" w:lineRule="auto"/>
        <w:rPr>
          <w:color w:val="000000"/>
          <w:sz w:val="24"/>
          <w:szCs w:val="20"/>
          <w:highlight w:val="none"/>
        </w:rPr>
        <w:outlineLvl w:val="2"/>
      </w:pPr>
      <w:r>
        <w:rPr>
          <w:color w:val="000000"/>
          <w:sz w:val="24"/>
          <w:szCs w:val="20"/>
          <w:highlight w:val="none"/>
        </w:rPr>
      </w:r>
      <w:r/>
    </w:p>
    <w:p>
      <w:pPr>
        <w:pStyle w:val="809"/>
        <w:spacing w:line="360" w:lineRule="auto"/>
        <w:rPr>
          <w:color w:val="000000"/>
          <w:sz w:val="24"/>
          <w:highlight w:val="none"/>
        </w:rPr>
        <w:outlineLvl w:val="2"/>
      </w:pPr>
      <w:r>
        <w:rPr>
          <w:color w:val="000000"/>
          <w:sz w:val="24"/>
          <w:szCs w:val="20"/>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4</w:t>
      </w:r>
      <w:r>
        <w:rPr>
          <w:color w:val="000000"/>
          <w:sz w:val="24"/>
          <w:szCs w:val="20"/>
          <w:highlight w:val="none"/>
        </w:rPr>
        <w:t xml:space="preserve"> 磋商文件要求提供或供应商认为应附的其他材料</w:t>
      </w:r>
      <w:r>
        <w:rPr>
          <w:color w:val="000000"/>
          <w:sz w:val="24"/>
          <w:highlight w:val="none"/>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rPr>
        <w:rStyle w:val="884"/>
      </w:rPr>
      <w:framePr w:wrap="around" w:vAnchor="text" w:hAnchor="margin" w:xAlign="right" w:y="1"/>
    </w:pPr>
    <w:r>
      <w:rPr>
        <w:rStyle w:val="884"/>
      </w:rPr>
      <w:fldChar w:fldCharType="begin"/>
    </w:r>
    <w:r>
      <w:rPr>
        <w:rStyle w:val="884"/>
      </w:rPr>
      <w:instrText xml:space="preserve">PAGE  </w:instrText>
    </w:r>
    <w:r>
      <w:rPr>
        <w:rStyle w:val="884"/>
      </w:rPr>
      <w:fldChar w:fldCharType="end"/>
    </w:r>
    <w:r>
      <w:rPr>
        <w:rStyle w:val="884"/>
      </w:rPr>
    </w:r>
    <w:r/>
  </w:p>
  <w:p>
    <w:pPr>
      <w:pStyle w:val="858"/>
      <w:ind w:right="360"/>
      <w:tabs>
        <w:tab w:val="center" w:pos="4153" w:leader="none"/>
        <w:tab w:val="right" w:pos="8306" w:leader="none"/>
      </w:tabs>
    </w:pPr>
    <w:r/>
    <w:r/>
  </w:p>
  <w:p>
    <w:pPr>
      <w:pStyle w:val="80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p>
    <w:pPr>
      <w:pStyle w:val="8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09"/>
        <w:ind w:left="4941" w:hanging="1140"/>
        <w:tabs>
          <w:tab w:val="num" w:pos="4941" w:leader="none"/>
        </w:tabs>
      </w:pPr>
      <w:rPr>
        <w:rFonts w:hint="eastAsia"/>
      </w:rPr>
    </w:lvl>
    <w:lvl w:ilvl="1">
      <w:start w:val="1"/>
      <w:numFmt w:val="lowerLetter"/>
      <w:isLgl w:val="false"/>
      <w:suff w:val="tab"/>
      <w:lvlText w:val="%2)"/>
      <w:lvlJc w:val="left"/>
      <w:pPr>
        <w:pStyle w:val="809"/>
        <w:ind w:left="4641" w:hanging="420"/>
        <w:tabs>
          <w:tab w:val="num" w:pos="4641" w:leader="none"/>
        </w:tabs>
      </w:pPr>
    </w:lvl>
    <w:lvl w:ilvl="2">
      <w:start w:val="1"/>
      <w:numFmt w:val="lowerRoman"/>
      <w:isLgl w:val="false"/>
      <w:suff w:val="tab"/>
      <w:lvlText w:val="%3."/>
      <w:lvlJc w:val="right"/>
      <w:pPr>
        <w:pStyle w:val="809"/>
        <w:ind w:left="5061" w:hanging="420"/>
        <w:tabs>
          <w:tab w:val="num" w:pos="5061" w:leader="none"/>
        </w:tabs>
      </w:pPr>
    </w:lvl>
    <w:lvl w:ilvl="3">
      <w:start w:val="1"/>
      <w:numFmt w:val="decimal"/>
      <w:isLgl w:val="false"/>
      <w:suff w:val="tab"/>
      <w:lvlText w:val="%4."/>
      <w:lvlJc w:val="left"/>
      <w:pPr>
        <w:pStyle w:val="809"/>
        <w:ind w:left="5481" w:hanging="420"/>
        <w:tabs>
          <w:tab w:val="num" w:pos="5481" w:leader="none"/>
        </w:tabs>
      </w:pPr>
    </w:lvl>
    <w:lvl w:ilvl="4">
      <w:start w:val="1"/>
      <w:numFmt w:val="lowerLetter"/>
      <w:isLgl w:val="false"/>
      <w:suff w:val="tab"/>
      <w:lvlText w:val="%5)"/>
      <w:lvlJc w:val="left"/>
      <w:pPr>
        <w:pStyle w:val="809"/>
        <w:ind w:left="5901" w:hanging="420"/>
        <w:tabs>
          <w:tab w:val="num" w:pos="5901" w:leader="none"/>
        </w:tabs>
      </w:pPr>
    </w:lvl>
    <w:lvl w:ilvl="5">
      <w:start w:val="1"/>
      <w:numFmt w:val="lowerRoman"/>
      <w:isLgl w:val="false"/>
      <w:suff w:val="tab"/>
      <w:lvlText w:val="%6."/>
      <w:lvlJc w:val="right"/>
      <w:pPr>
        <w:pStyle w:val="809"/>
        <w:ind w:left="6321" w:hanging="420"/>
        <w:tabs>
          <w:tab w:val="num" w:pos="6321" w:leader="none"/>
        </w:tabs>
      </w:pPr>
    </w:lvl>
    <w:lvl w:ilvl="6">
      <w:start w:val="1"/>
      <w:numFmt w:val="decimal"/>
      <w:isLgl w:val="false"/>
      <w:suff w:val="tab"/>
      <w:lvlText w:val="%7."/>
      <w:lvlJc w:val="left"/>
      <w:pPr>
        <w:pStyle w:val="809"/>
        <w:ind w:left="6741" w:hanging="420"/>
        <w:tabs>
          <w:tab w:val="num" w:pos="6741" w:leader="none"/>
        </w:tabs>
      </w:pPr>
    </w:lvl>
    <w:lvl w:ilvl="7">
      <w:start w:val="1"/>
      <w:numFmt w:val="lowerLetter"/>
      <w:isLgl w:val="false"/>
      <w:suff w:val="tab"/>
      <w:lvlText w:val="%8)"/>
      <w:lvlJc w:val="left"/>
      <w:pPr>
        <w:pStyle w:val="809"/>
        <w:ind w:left="7161" w:hanging="420"/>
        <w:tabs>
          <w:tab w:val="num" w:pos="7161" w:leader="none"/>
        </w:tabs>
      </w:pPr>
    </w:lvl>
    <w:lvl w:ilvl="8">
      <w:start w:val="1"/>
      <w:numFmt w:val="lowerRoman"/>
      <w:isLgl w:val="false"/>
      <w:suff w:val="tab"/>
      <w:lvlText w:val="%9."/>
      <w:lvlJc w:val="right"/>
      <w:pPr>
        <w:pStyle w:val="809"/>
        <w:ind w:left="7581" w:hanging="420"/>
        <w:tabs>
          <w:tab w:val="num" w:pos="7581" w:leader="none"/>
        </w:tabs>
      </w:pPr>
    </w:lvl>
  </w:abstractNum>
  <w:abstractNum w:abstractNumId="4">
    <w:multiLevelType w:val="hybridMultilevel"/>
    <w:lvl w:ilvl="0">
      <w:start w:val="1"/>
      <w:numFmt w:val="decimal"/>
      <w:pStyle w:val="919"/>
      <w:isLgl w:val="false"/>
      <w:suff w:val="tab"/>
      <w:lvlText w:val="%1."/>
      <w:lvlJc w:val="left"/>
      <w:pPr>
        <w:pStyle w:val="809"/>
        <w:ind w:left="420" w:hanging="420"/>
      </w:pPr>
    </w:lvl>
    <w:lvl w:ilvl="1">
      <w:start w:val="1"/>
      <w:numFmt w:val="decimal"/>
      <w:isLgl w:val="false"/>
      <w:suff w:val="tab"/>
      <w:lvlText w:val="（%2）"/>
      <w:lvlJc w:val="left"/>
      <w:pPr>
        <w:pStyle w:val="809"/>
        <w:ind w:left="1140" w:hanging="720"/>
        <w:tabs>
          <w:tab w:val="num" w:pos="1140" w:leader="none"/>
        </w:tabs>
      </w:pPr>
      <w:rPr>
        <w:rFonts w:hint="eastAsia"/>
      </w:r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5">
    <w:multiLevelType w:val="hybridMultilevel"/>
    <w:lvl w:ilvl="0">
      <w:start w:val="1"/>
      <w:numFmt w:val="lowerLetter"/>
      <w:pStyle w:val="994"/>
      <w:isLgl w:val="false"/>
      <w:suff w:val="tab"/>
      <w:lvlText w:val="%1)"/>
      <w:lvlJc w:val="left"/>
      <w:pPr>
        <w:pStyle w:val="809"/>
        <w:ind w:left="902" w:hanging="420"/>
      </w:pPr>
      <w:rPr>
        <w:color w:val="000000"/>
      </w:rPr>
    </w:lvl>
    <w:lvl w:ilvl="1">
      <w:start w:val="1"/>
      <w:numFmt w:val="lowerLetter"/>
      <w:isLgl w:val="false"/>
      <w:suff w:val="tab"/>
      <w:lvlText w:val="%2)"/>
      <w:lvlJc w:val="left"/>
      <w:pPr>
        <w:pStyle w:val="809"/>
        <w:ind w:left="1322" w:hanging="420"/>
      </w:pPr>
    </w:lvl>
    <w:lvl w:ilvl="2">
      <w:start w:val="1"/>
      <w:numFmt w:val="lowerRoman"/>
      <w:isLgl w:val="false"/>
      <w:suff w:val="tab"/>
      <w:lvlText w:val="%3."/>
      <w:lvlJc w:val="right"/>
      <w:pPr>
        <w:pStyle w:val="809"/>
        <w:ind w:left="1742" w:hanging="420"/>
      </w:pPr>
    </w:lvl>
    <w:lvl w:ilvl="3">
      <w:start w:val="1"/>
      <w:numFmt w:val="decimal"/>
      <w:isLgl w:val="false"/>
      <w:suff w:val="tab"/>
      <w:lvlText w:val="%4."/>
      <w:lvlJc w:val="left"/>
      <w:pPr>
        <w:pStyle w:val="809"/>
        <w:ind w:left="2162" w:hanging="420"/>
      </w:pPr>
    </w:lvl>
    <w:lvl w:ilvl="4">
      <w:start w:val="1"/>
      <w:numFmt w:val="lowerLetter"/>
      <w:isLgl w:val="false"/>
      <w:suff w:val="tab"/>
      <w:lvlText w:val="%5)"/>
      <w:lvlJc w:val="left"/>
      <w:pPr>
        <w:pStyle w:val="809"/>
        <w:ind w:left="2582" w:hanging="420"/>
      </w:pPr>
    </w:lvl>
    <w:lvl w:ilvl="5">
      <w:start w:val="1"/>
      <w:numFmt w:val="lowerRoman"/>
      <w:isLgl w:val="false"/>
      <w:suff w:val="tab"/>
      <w:lvlText w:val="%6."/>
      <w:lvlJc w:val="right"/>
      <w:pPr>
        <w:pStyle w:val="809"/>
        <w:ind w:left="3002" w:hanging="420"/>
      </w:pPr>
    </w:lvl>
    <w:lvl w:ilvl="6">
      <w:start w:val="1"/>
      <w:numFmt w:val="decimal"/>
      <w:isLgl w:val="false"/>
      <w:suff w:val="tab"/>
      <w:lvlText w:val="%7."/>
      <w:lvlJc w:val="left"/>
      <w:pPr>
        <w:pStyle w:val="809"/>
        <w:ind w:left="3422" w:hanging="420"/>
      </w:pPr>
    </w:lvl>
    <w:lvl w:ilvl="7">
      <w:start w:val="1"/>
      <w:numFmt w:val="lowerLetter"/>
      <w:isLgl w:val="false"/>
      <w:suff w:val="tab"/>
      <w:lvlText w:val="%8)"/>
      <w:lvlJc w:val="left"/>
      <w:pPr>
        <w:pStyle w:val="809"/>
        <w:ind w:left="3842" w:hanging="420"/>
      </w:pPr>
    </w:lvl>
    <w:lvl w:ilvl="8">
      <w:start w:val="1"/>
      <w:numFmt w:val="lowerRoman"/>
      <w:isLgl w:val="false"/>
      <w:suff w:val="tab"/>
      <w:lvlText w:val="%9."/>
      <w:lvlJc w:val="right"/>
      <w:pPr>
        <w:pStyle w:val="809"/>
        <w:ind w:left="4262" w:hanging="420"/>
      </w:pPr>
    </w:lvl>
  </w:abstractNum>
  <w:abstractNum w:abstractNumId="6">
    <w:multiLevelType w:val="hybridMultilevel"/>
    <w:lvl w:ilvl="0">
      <w:start w:val="1"/>
      <w:numFmt w:val="decimal"/>
      <w:pStyle w:val="964"/>
      <w:isLgl w:val="false"/>
      <w:suff w:val="tab"/>
      <w:lvlText w:val="%1."/>
      <w:lvlJc w:val="left"/>
      <w:pPr>
        <w:pStyle w:val="8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3"/>
      <w:isLgl w:val="false"/>
      <w:suff w:val="nothing"/>
      <w:lvlText w:val="%1　"/>
      <w:lvlJc w:val="left"/>
      <w:pPr>
        <w:pStyle w:val="8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9"/>
        <w:ind w:left="-25" w:firstLine="0"/>
      </w:pPr>
      <w:rPr>
        <w:rFonts w:ascii="Times New Roman" w:hAnsi="Times New Roman" w:eastAsia="黑体"/>
        <w:b/>
        <w:i w:val="0"/>
        <w:sz w:val="28"/>
      </w:rPr>
    </w:lvl>
    <w:lvl w:ilvl="3">
      <w:start w:val="1"/>
      <w:numFmt w:val="decimal"/>
      <w:pStyle w:val="949"/>
      <w:isLgl w:val="false"/>
      <w:suff w:val="nothing"/>
      <w:lvlText w:val="%1.%2.%3.%4　"/>
      <w:lvlJc w:val="left"/>
      <w:pPr>
        <w:pStyle w:val="8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9"/>
        <w:ind w:left="-25" w:firstLine="0"/>
      </w:pPr>
      <w:rPr>
        <w:rFonts w:ascii="Times New Roman" w:hAnsi="Times New Roman" w:eastAsia="宋体"/>
        <w:b/>
        <w:i w:val="0"/>
        <w:sz w:val="28"/>
      </w:rPr>
    </w:lvl>
    <w:lvl w:ilvl="6">
      <w:start w:val="1"/>
      <w:numFmt w:val="lowerLetter"/>
      <w:pStyle w:val="970"/>
      <w:isLgl w:val="false"/>
      <w:suff w:val="tab"/>
      <w:lvlText w:val="%7) "/>
      <w:lvlJc w:val="left"/>
      <w:pPr>
        <w:pStyle w:val="809"/>
        <w:ind w:left="-125" w:firstLine="400"/>
        <w:tabs>
          <w:tab w:val="num" w:pos="635" w:leader="none"/>
        </w:tabs>
      </w:pPr>
      <w:rPr>
        <w:rFonts w:ascii="Times New Roman" w:hAnsi="Times New Roman" w:eastAsia="宋体"/>
        <w:b/>
        <w:i w:val="0"/>
        <w:color w:val="000000"/>
        <w:sz w:val="28"/>
        <w:u w:val="none"/>
      </w:rPr>
    </w:lvl>
    <w:lvl w:ilvl="7">
      <w:start w:val="1"/>
      <w:numFmt w:val="decimal"/>
      <w:pStyle w:val="933"/>
      <w:isLgl w:val="false"/>
      <w:suff w:val="tab"/>
      <w:lvlText w:val="%8) "/>
      <w:lvlJc w:val="left"/>
      <w:pPr>
        <w:pStyle w:val="8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9"/>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09"/>
        <w:ind w:left="768" w:hanging="360"/>
        <w:tabs>
          <w:tab w:val="num" w:pos="768" w:leader="none"/>
        </w:tabs>
      </w:pPr>
      <w:rPr>
        <w:rFonts w:hint="eastAsia"/>
      </w:rPr>
    </w:lvl>
    <w:lvl w:ilvl="1">
      <w:start w:val="1"/>
      <w:numFmt w:val="decimal"/>
      <w:pStyle w:val="951"/>
      <w:isLgl w:val="false"/>
      <w:suff w:val="tab"/>
      <w:lvlText w:val="%2、"/>
      <w:lvlJc w:val="left"/>
      <w:pPr>
        <w:pStyle w:val="809"/>
        <w:ind w:left="1188" w:hanging="360"/>
        <w:tabs>
          <w:tab w:val="num" w:pos="1188" w:leader="none"/>
        </w:tabs>
      </w:pPr>
      <w:rPr>
        <w:rFonts w:hint="eastAsia"/>
      </w:rPr>
    </w:lvl>
    <w:lvl w:ilvl="2">
      <w:start w:val="1"/>
      <w:numFmt w:val="decimal"/>
      <w:isLgl w:val="false"/>
      <w:suff w:val="tab"/>
      <w:lvlText w:val="（%3）"/>
      <w:lvlJc w:val="left"/>
      <w:pPr>
        <w:pStyle w:val="809"/>
        <w:ind w:left="1968" w:hanging="720"/>
        <w:tabs>
          <w:tab w:val="num" w:pos="1968" w:leader="none"/>
        </w:tabs>
      </w:pPr>
      <w:rPr>
        <w:rFonts w:hint="eastAsia"/>
        <w:u w:val="none"/>
      </w:rPr>
    </w:lvl>
    <w:lvl w:ilvl="3">
      <w:start w:val="1"/>
      <w:numFmt w:val="decimal"/>
      <w:isLgl w:val="false"/>
      <w:suff w:val="tab"/>
      <w:lvlText w:val="%4."/>
      <w:lvlJc w:val="left"/>
      <w:pPr>
        <w:pStyle w:val="809"/>
        <w:ind w:left="2088" w:hanging="420"/>
        <w:tabs>
          <w:tab w:val="num" w:pos="2088" w:leader="none"/>
        </w:tabs>
      </w:pPr>
    </w:lvl>
    <w:lvl w:ilvl="4">
      <w:start w:val="1"/>
      <w:numFmt w:val="lowerLetter"/>
      <w:isLgl w:val="false"/>
      <w:suff w:val="tab"/>
      <w:lvlText w:val="%5)"/>
      <w:lvlJc w:val="left"/>
      <w:pPr>
        <w:pStyle w:val="809"/>
        <w:ind w:left="2508" w:hanging="420"/>
        <w:tabs>
          <w:tab w:val="num" w:pos="2508" w:leader="none"/>
        </w:tabs>
      </w:pPr>
    </w:lvl>
    <w:lvl w:ilvl="5">
      <w:start w:val="1"/>
      <w:numFmt w:val="lowerRoman"/>
      <w:isLgl w:val="false"/>
      <w:suff w:val="tab"/>
      <w:lvlText w:val="%6."/>
      <w:lvlJc w:val="right"/>
      <w:pPr>
        <w:pStyle w:val="809"/>
        <w:ind w:left="2928" w:hanging="420"/>
        <w:tabs>
          <w:tab w:val="num" w:pos="2928" w:leader="none"/>
        </w:tabs>
      </w:pPr>
    </w:lvl>
    <w:lvl w:ilvl="6">
      <w:start w:val="1"/>
      <w:numFmt w:val="decimal"/>
      <w:isLgl w:val="false"/>
      <w:suff w:val="tab"/>
      <w:lvlText w:val="%7."/>
      <w:lvlJc w:val="left"/>
      <w:pPr>
        <w:pStyle w:val="809"/>
        <w:ind w:left="3348" w:hanging="420"/>
        <w:tabs>
          <w:tab w:val="num" w:pos="3348" w:leader="none"/>
        </w:tabs>
      </w:pPr>
    </w:lvl>
    <w:lvl w:ilvl="7">
      <w:start w:val="1"/>
      <w:numFmt w:val="lowerLetter"/>
      <w:isLgl w:val="false"/>
      <w:suff w:val="tab"/>
      <w:lvlText w:val="%8)"/>
      <w:lvlJc w:val="left"/>
      <w:pPr>
        <w:pStyle w:val="809"/>
        <w:ind w:left="3768" w:hanging="420"/>
        <w:tabs>
          <w:tab w:val="num" w:pos="3768" w:leader="none"/>
        </w:tabs>
      </w:pPr>
    </w:lvl>
    <w:lvl w:ilvl="8">
      <w:start w:val="1"/>
      <w:numFmt w:val="lowerRoman"/>
      <w:isLgl w:val="false"/>
      <w:suff w:val="tab"/>
      <w:lvlText w:val="%9."/>
      <w:lvlJc w:val="right"/>
      <w:pPr>
        <w:pStyle w:val="809"/>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809"/>
        <w:ind w:left="900" w:hanging="900"/>
        <w:tabs>
          <w:tab w:val="num" w:pos="900" w:leader="none"/>
        </w:tabs>
      </w:pPr>
      <w:rPr>
        <w:rFonts w:hint="eastAsia"/>
      </w:rPr>
    </w:lvl>
    <w:lvl w:ilvl="1">
      <w:start w:val="1"/>
      <w:numFmt w:val="decimal"/>
      <w:isLgl w:val="false"/>
      <w:suff w:val="tab"/>
      <w:lvlText w:val="%1.%2"/>
      <w:lvlJc w:val="left"/>
      <w:pPr>
        <w:pStyle w:val="8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9"/>
        <w:ind w:left="1980" w:hanging="900"/>
        <w:tabs>
          <w:tab w:val="num" w:pos="1980" w:leader="none"/>
        </w:tabs>
      </w:pPr>
      <w:rPr>
        <w:rFonts w:hint="eastAsia"/>
      </w:rPr>
    </w:lvl>
    <w:lvl w:ilvl="3">
      <w:start w:val="1"/>
      <w:numFmt w:val="decimal"/>
      <w:isLgl w:val="false"/>
      <w:suff w:val="tab"/>
      <w:lvlText w:val="%1.%2.%3.%4"/>
      <w:lvlJc w:val="left"/>
      <w:pPr>
        <w:pStyle w:val="809"/>
        <w:ind w:left="900" w:hanging="900"/>
        <w:tabs>
          <w:tab w:val="num" w:pos="900" w:leader="none"/>
        </w:tabs>
      </w:pPr>
      <w:rPr>
        <w:rFonts w:hint="eastAsia"/>
      </w:rPr>
    </w:lvl>
    <w:lvl w:ilvl="4">
      <w:start w:val="1"/>
      <w:numFmt w:val="decimal"/>
      <w:isLgl w:val="false"/>
      <w:suff w:val="tab"/>
      <w:lvlText w:val="%1.%2.%3.%4.%5"/>
      <w:lvlJc w:val="left"/>
      <w:pPr>
        <w:pStyle w:val="809"/>
        <w:ind w:left="900" w:hanging="900"/>
        <w:tabs>
          <w:tab w:val="num" w:pos="900" w:leader="none"/>
        </w:tabs>
      </w:pPr>
      <w:rPr>
        <w:rFonts w:hint="eastAsia"/>
      </w:rPr>
    </w:lvl>
    <w:lvl w:ilvl="5">
      <w:start w:val="1"/>
      <w:numFmt w:val="decimal"/>
      <w:isLgl w:val="false"/>
      <w:suff w:val="tab"/>
      <w:lvlText w:val="%1.%2.%3.%4.%5.%6"/>
      <w:lvlJc w:val="left"/>
      <w:pPr>
        <w:pStyle w:val="809"/>
        <w:ind w:left="900" w:hanging="900"/>
        <w:tabs>
          <w:tab w:val="num" w:pos="900" w:leader="none"/>
        </w:tabs>
      </w:pPr>
      <w:rPr>
        <w:rFonts w:hint="eastAsia"/>
      </w:rPr>
    </w:lvl>
    <w:lvl w:ilvl="6">
      <w:start w:val="1"/>
      <w:numFmt w:val="decimal"/>
      <w:isLgl w:val="false"/>
      <w:suff w:val="tab"/>
      <w:lvlText w:val="%1.%2.%3.%4.%5.%6.%7"/>
      <w:lvlJc w:val="left"/>
      <w:pPr>
        <w:pStyle w:val="809"/>
        <w:ind w:left="900" w:hanging="900"/>
        <w:tabs>
          <w:tab w:val="num" w:pos="900" w:leader="none"/>
        </w:tabs>
      </w:pPr>
      <w:rPr>
        <w:rFonts w:hint="eastAsia"/>
      </w:rPr>
    </w:lvl>
    <w:lvl w:ilvl="7">
      <w:start w:val="1"/>
      <w:numFmt w:val="decimal"/>
      <w:isLgl w:val="false"/>
      <w:suff w:val="tab"/>
      <w:lvlText w:val="%1.%2.%3.%4.%5.%6.%7.%8"/>
      <w:lvlJc w:val="left"/>
      <w:pPr>
        <w:pStyle w:val="809"/>
        <w:ind w:left="900" w:hanging="900"/>
        <w:tabs>
          <w:tab w:val="num" w:pos="900" w:leader="none"/>
        </w:tabs>
      </w:pPr>
      <w:rPr>
        <w:rFonts w:hint="eastAsia"/>
      </w:rPr>
    </w:lvl>
    <w:lvl w:ilvl="8">
      <w:start w:val="1"/>
      <w:numFmt w:val="decimal"/>
      <w:isLgl w:val="false"/>
      <w:suff w:val="tab"/>
      <w:lvlText w:val="%1.%2.%3.%4.%5.%6.%7.%8.%9"/>
      <w:lvlJc w:val="left"/>
      <w:pPr>
        <w:pStyle w:val="809"/>
        <w:ind w:left="900" w:hanging="900"/>
        <w:tabs>
          <w:tab w:val="num" w:pos="900" w:leader="none"/>
        </w:tabs>
      </w:pPr>
      <w:rPr>
        <w:rFonts w:hint="eastAsia"/>
      </w:rPr>
    </w:lvl>
  </w:abstractNum>
  <w:abstractNum w:abstractNumId="10">
    <w:multiLevelType w:val="hybridMultilevel"/>
    <w:lvl w:ilvl="0">
      <w:start w:val="1"/>
      <w:numFmt w:val="decimal"/>
      <w:pStyle w:val="918"/>
      <w:isLgl w:val="false"/>
      <w:suff w:val="tab"/>
      <w:lvlText w:val="%1)"/>
      <w:lvlJc w:val="left"/>
      <w:pPr>
        <w:pStyle w:val="809"/>
        <w:ind w:left="420" w:hanging="420"/>
      </w:pPr>
    </w:lvl>
    <w:lvl w:ilvl="1">
      <w:start w:val="1"/>
      <w:numFmt w:val="lowerLetter"/>
      <w:isLgl w:val="false"/>
      <w:suff w:val="tab"/>
      <w:lvlText w:val="%2)"/>
      <w:lvlJc w:val="left"/>
      <w:pPr>
        <w:pStyle w:val="809"/>
        <w:ind w:left="840" w:hanging="420"/>
      </w:pPr>
    </w:lvl>
    <w:lvl w:ilvl="2">
      <w:start w:val="1"/>
      <w:numFmt w:val="lowerRoman"/>
      <w:isLgl w:val="false"/>
      <w:suff w:val="tab"/>
      <w:lvlText w:val="%3."/>
      <w:lvlJc w:val="right"/>
      <w:pPr>
        <w:pStyle w:val="809"/>
        <w:ind w:left="1260" w:hanging="420"/>
      </w:pPr>
    </w:lvl>
    <w:lvl w:ilvl="3">
      <w:start w:val="1"/>
      <w:numFmt w:val="decimal"/>
      <w:isLgl w:val="false"/>
      <w:suff w:val="tab"/>
      <w:lvlText w:val="%4."/>
      <w:lvlJc w:val="left"/>
      <w:pPr>
        <w:pStyle w:val="809"/>
        <w:ind w:left="1680" w:hanging="420"/>
      </w:pPr>
    </w:lvl>
    <w:lvl w:ilvl="4">
      <w:start w:val="1"/>
      <w:numFmt w:val="lowerLetter"/>
      <w:isLgl w:val="false"/>
      <w:suff w:val="tab"/>
      <w:lvlText w:val="%5)"/>
      <w:lvlJc w:val="left"/>
      <w:pPr>
        <w:pStyle w:val="809"/>
        <w:ind w:left="2100" w:hanging="420"/>
      </w:pPr>
    </w:lvl>
    <w:lvl w:ilvl="5">
      <w:start w:val="1"/>
      <w:numFmt w:val="lowerRoman"/>
      <w:isLgl w:val="false"/>
      <w:suff w:val="tab"/>
      <w:lvlText w:val="%6."/>
      <w:lvlJc w:val="right"/>
      <w:pPr>
        <w:pStyle w:val="809"/>
        <w:ind w:left="2520" w:hanging="420"/>
      </w:pPr>
    </w:lvl>
    <w:lvl w:ilvl="6">
      <w:start w:val="1"/>
      <w:numFmt w:val="decimal"/>
      <w:isLgl w:val="false"/>
      <w:suff w:val="tab"/>
      <w:lvlText w:val="%7."/>
      <w:lvlJc w:val="left"/>
      <w:pPr>
        <w:pStyle w:val="809"/>
        <w:ind w:left="2940" w:hanging="420"/>
      </w:pPr>
    </w:lvl>
    <w:lvl w:ilvl="7">
      <w:start w:val="1"/>
      <w:numFmt w:val="lowerLetter"/>
      <w:isLgl w:val="false"/>
      <w:suff w:val="tab"/>
      <w:lvlText w:val="%8)"/>
      <w:lvlJc w:val="left"/>
      <w:pPr>
        <w:pStyle w:val="809"/>
        <w:ind w:left="3360" w:hanging="420"/>
      </w:pPr>
    </w:lvl>
    <w:lvl w:ilvl="8">
      <w:start w:val="1"/>
      <w:numFmt w:val="lowerRoman"/>
      <w:isLgl w:val="false"/>
      <w:suff w:val="tab"/>
      <w:lvlText w:val="%9."/>
      <w:lvlJc w:val="right"/>
      <w:pPr>
        <w:pStyle w:val="809"/>
        <w:ind w:left="3780" w:hanging="420"/>
      </w:pPr>
    </w:lvl>
  </w:abstractNum>
  <w:abstractNum w:abstractNumId="11">
    <w:multiLevelType w:val="hybridMultilevel"/>
    <w:lvl w:ilvl="0">
      <w:start w:val="1"/>
      <w:numFmt w:val="decimal"/>
      <w:pStyle w:val="1019"/>
      <w:isLgl w:val="false"/>
      <w:suff w:val="tab"/>
      <w:lvlText w:val="%1"/>
      <w:lvlJc w:val="left"/>
      <w:pPr>
        <w:pStyle w:val="809"/>
        <w:ind w:left="680" w:hanging="680"/>
      </w:pPr>
      <w:rPr>
        <w:rFonts w:hint="eastAsia" w:ascii="宋体" w:hAnsi="宋体" w:eastAsia="宋体"/>
      </w:rPr>
    </w:lvl>
    <w:lvl w:ilvl="1">
      <w:start w:val="1"/>
      <w:numFmt w:val="decimal"/>
      <w:pStyle w:val="1020"/>
      <w:isLgl w:val="false"/>
      <w:suff w:val="tab"/>
      <w:lvlText w:val="%1.%2"/>
      <w:lvlJc w:val="left"/>
      <w:pPr>
        <w:pStyle w:val="809"/>
        <w:ind w:left="851" w:hanging="851"/>
      </w:pPr>
      <w:rPr>
        <w:rFonts w:hint="eastAsia" w:ascii="宋体" w:hAnsi="宋体" w:eastAsia="宋体"/>
        <w:color w:val="000000"/>
      </w:rPr>
    </w:lvl>
    <w:lvl w:ilvl="2">
      <w:start w:val="1"/>
      <w:numFmt w:val="decimal"/>
      <w:pStyle w:val="1021"/>
      <w:isLgl w:val="false"/>
      <w:suff w:val="tab"/>
      <w:lvlText w:val="%1.%2.%3"/>
      <w:lvlJc w:val="left"/>
      <w:pPr>
        <w:pStyle w:val="809"/>
        <w:ind w:left="851" w:hanging="851"/>
      </w:pPr>
      <w:rPr>
        <w:rFonts w:hint="eastAsia"/>
      </w:rPr>
    </w:lvl>
    <w:lvl w:ilvl="3">
      <w:start w:val="1"/>
      <w:numFmt w:val="decimal"/>
      <w:isLgl w:val="false"/>
      <w:suff w:val="tab"/>
      <w:lvlText w:val="%1.%2.%3.%4"/>
      <w:lvlJc w:val="left"/>
      <w:pPr>
        <w:pStyle w:val="809"/>
        <w:ind w:left="680" w:hanging="680"/>
      </w:pPr>
      <w:rPr>
        <w:rFonts w:hint="eastAsia"/>
      </w:rPr>
    </w:lvl>
    <w:lvl w:ilvl="4">
      <w:start w:val="1"/>
      <w:numFmt w:val="decimal"/>
      <w:isLgl w:val="false"/>
      <w:suff w:val="tab"/>
      <w:lvlText w:val="%1.%2.%3.%4.%5"/>
      <w:lvlJc w:val="left"/>
      <w:pPr>
        <w:pStyle w:val="809"/>
        <w:ind w:left="680" w:hanging="680"/>
      </w:pPr>
      <w:rPr>
        <w:rFonts w:hint="eastAsia"/>
      </w:rPr>
    </w:lvl>
    <w:lvl w:ilvl="5">
      <w:start w:val="1"/>
      <w:numFmt w:val="decimal"/>
      <w:isLgl w:val="false"/>
      <w:suff w:val="tab"/>
      <w:lvlText w:val="%1.%2.%3.%4.%5.%6"/>
      <w:lvlJc w:val="left"/>
      <w:pPr>
        <w:pStyle w:val="809"/>
        <w:ind w:left="680" w:hanging="680"/>
      </w:pPr>
      <w:rPr>
        <w:rFonts w:hint="eastAsia"/>
      </w:rPr>
    </w:lvl>
    <w:lvl w:ilvl="6">
      <w:start w:val="1"/>
      <w:numFmt w:val="decimal"/>
      <w:isLgl w:val="false"/>
      <w:suff w:val="tab"/>
      <w:lvlText w:val="%1.%2.%3.%4.%5.%6.%7"/>
      <w:lvlJc w:val="left"/>
      <w:pPr>
        <w:pStyle w:val="809"/>
        <w:ind w:left="680" w:hanging="680"/>
      </w:pPr>
      <w:rPr>
        <w:rFonts w:hint="eastAsia"/>
      </w:rPr>
    </w:lvl>
    <w:lvl w:ilvl="7">
      <w:start w:val="1"/>
      <w:numFmt w:val="decimal"/>
      <w:isLgl w:val="false"/>
      <w:suff w:val="tab"/>
      <w:lvlText w:val="%1.%2.%3.%4.%5.%6.%7.%8"/>
      <w:lvlJc w:val="left"/>
      <w:pPr>
        <w:pStyle w:val="809"/>
        <w:ind w:left="680" w:hanging="680"/>
      </w:pPr>
      <w:rPr>
        <w:rFonts w:hint="eastAsia"/>
      </w:rPr>
    </w:lvl>
    <w:lvl w:ilvl="8">
      <w:start w:val="1"/>
      <w:numFmt w:val="decimal"/>
      <w:isLgl w:val="false"/>
      <w:suff w:val="tab"/>
      <w:lvlText w:val="%1.%2.%3.%4.%5.%6.%7.%8.%9"/>
      <w:lvlJc w:val="left"/>
      <w:pPr>
        <w:pStyle w:val="809"/>
        <w:ind w:left="680" w:hanging="680"/>
      </w:pPr>
      <w:rPr>
        <w:rFonts w:hint="eastAsia"/>
      </w:rPr>
    </w:lvl>
  </w:abstractNum>
  <w:abstractNum w:abstractNumId="12">
    <w:multiLevelType w:val="hybridMultilevel"/>
    <w:lvl w:ilvl="0">
      <w:start w:val="1"/>
      <w:numFmt w:val="decimal"/>
      <w:isLgl w:val="false"/>
      <w:suff w:val="tab"/>
      <w:lvlText w:val="%1"/>
      <w:lvlJc w:val="left"/>
      <w:pPr>
        <w:pStyle w:val="809"/>
        <w:ind w:left="900" w:hanging="900"/>
        <w:tabs>
          <w:tab w:val="num" w:pos="900" w:leader="none"/>
        </w:tabs>
      </w:pPr>
      <w:rPr>
        <w:rFonts w:hint="eastAsia"/>
      </w:rPr>
    </w:lvl>
    <w:lvl w:ilvl="1">
      <w:start w:val="1"/>
      <w:numFmt w:val="decimal"/>
      <w:isLgl w:val="false"/>
      <w:suff w:val="tab"/>
      <w:lvlText w:val="%1.%2"/>
      <w:lvlJc w:val="left"/>
      <w:pPr>
        <w:pStyle w:val="80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09"/>
        <w:ind w:left="1980" w:hanging="900"/>
        <w:tabs>
          <w:tab w:val="num" w:pos="1980" w:leader="none"/>
        </w:tabs>
      </w:pPr>
      <w:rPr>
        <w:rFonts w:hint="eastAsia"/>
      </w:rPr>
    </w:lvl>
    <w:lvl w:ilvl="3">
      <w:start w:val="1"/>
      <w:numFmt w:val="decimal"/>
      <w:isLgl w:val="false"/>
      <w:suff w:val="tab"/>
      <w:lvlText w:val="%1.%2.%3.%4"/>
      <w:lvlJc w:val="left"/>
      <w:pPr>
        <w:pStyle w:val="809"/>
        <w:ind w:left="900" w:hanging="900"/>
        <w:tabs>
          <w:tab w:val="num" w:pos="900" w:leader="none"/>
        </w:tabs>
      </w:pPr>
      <w:rPr>
        <w:rFonts w:hint="eastAsia"/>
      </w:rPr>
    </w:lvl>
    <w:lvl w:ilvl="4">
      <w:start w:val="1"/>
      <w:numFmt w:val="decimal"/>
      <w:isLgl w:val="false"/>
      <w:suff w:val="tab"/>
      <w:lvlText w:val="%1.%2.%3.%4.%5"/>
      <w:lvlJc w:val="left"/>
      <w:pPr>
        <w:pStyle w:val="809"/>
        <w:ind w:left="900" w:hanging="900"/>
        <w:tabs>
          <w:tab w:val="num" w:pos="900" w:leader="none"/>
        </w:tabs>
      </w:pPr>
      <w:rPr>
        <w:rFonts w:hint="eastAsia"/>
      </w:rPr>
    </w:lvl>
    <w:lvl w:ilvl="5">
      <w:start w:val="1"/>
      <w:numFmt w:val="decimal"/>
      <w:isLgl w:val="false"/>
      <w:suff w:val="tab"/>
      <w:lvlText w:val="%1.%2.%3.%4.%5.%6"/>
      <w:lvlJc w:val="left"/>
      <w:pPr>
        <w:pStyle w:val="809"/>
        <w:ind w:left="900" w:hanging="900"/>
        <w:tabs>
          <w:tab w:val="num" w:pos="900" w:leader="none"/>
        </w:tabs>
      </w:pPr>
      <w:rPr>
        <w:rFonts w:hint="eastAsia"/>
      </w:rPr>
    </w:lvl>
    <w:lvl w:ilvl="6">
      <w:start w:val="1"/>
      <w:numFmt w:val="decimal"/>
      <w:isLgl w:val="false"/>
      <w:suff w:val="tab"/>
      <w:lvlText w:val="%1.%2.%3.%4.%5.%6.%7"/>
      <w:lvlJc w:val="left"/>
      <w:pPr>
        <w:pStyle w:val="809"/>
        <w:ind w:left="900" w:hanging="900"/>
        <w:tabs>
          <w:tab w:val="num" w:pos="900" w:leader="none"/>
        </w:tabs>
      </w:pPr>
      <w:rPr>
        <w:rFonts w:hint="eastAsia"/>
      </w:rPr>
    </w:lvl>
    <w:lvl w:ilvl="7">
      <w:start w:val="1"/>
      <w:numFmt w:val="decimal"/>
      <w:isLgl w:val="false"/>
      <w:suff w:val="tab"/>
      <w:lvlText w:val="%1.%2.%3.%4.%5.%6.%7.%8"/>
      <w:lvlJc w:val="left"/>
      <w:pPr>
        <w:pStyle w:val="809"/>
        <w:ind w:left="900" w:hanging="900"/>
        <w:tabs>
          <w:tab w:val="num" w:pos="900" w:leader="none"/>
        </w:tabs>
      </w:pPr>
      <w:rPr>
        <w:rFonts w:hint="eastAsia"/>
      </w:rPr>
    </w:lvl>
    <w:lvl w:ilvl="8">
      <w:start w:val="1"/>
      <w:numFmt w:val="decimal"/>
      <w:isLgl w:val="false"/>
      <w:suff w:val="tab"/>
      <w:lvlText w:val="%1.%2.%3.%4.%5.%6.%7.%8.%9"/>
      <w:lvlJc w:val="left"/>
      <w:pPr>
        <w:pStyle w:val="809"/>
        <w:ind w:left="900" w:hanging="900"/>
        <w:tabs>
          <w:tab w:val="num" w:pos="900" w:leader="none"/>
        </w:tabs>
      </w:pPr>
      <w:rPr>
        <w:rFonts w:hint="eastAsia"/>
      </w:rPr>
    </w:lvl>
  </w:abstractNum>
  <w:abstractNum w:abstractNumId="13">
    <w:multiLevelType w:val="hybridMultilevel"/>
    <w:lvl w:ilvl="0">
      <w:start w:val="2"/>
      <w:numFmt w:val="decimal"/>
      <w:isLgl w:val="false"/>
      <w:suff w:val="tab"/>
      <w:lvlText w:val="%1."/>
      <w:lvlJc w:val="left"/>
      <w:pPr>
        <w:pStyle w:val="8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1"/>
  </w:num>
  <w:num w:numId="9">
    <w:abstractNumId w:val="9"/>
  </w:num>
  <w:num w:numId="10">
    <w:abstractNumId w:val="3"/>
  </w:num>
  <w:num w:numId="11">
    <w:abstractNumId w:val="12"/>
  </w:num>
  <w:num w:numId="12">
    <w:abstractNumId w:val="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szCs w:val="24"/>
      <w:lang w:val="en-US" w:eastAsia="zh-CN" w:bidi="ar-SA"/>
    </w:rPr>
  </w:style>
  <w:style w:type="paragraph" w:styleId="810">
    <w:name w:val="标题 1"/>
    <w:basedOn w:val="809"/>
    <w:next w:val="809"/>
    <w:link w:val="821"/>
    <w:qFormat/>
    <w:pPr>
      <w:jc w:val="center"/>
      <w:keepLines/>
      <w:keepNext/>
      <w:spacing w:before="240" w:after="120" w:line="300" w:lineRule="auto"/>
      <w:outlineLvl w:val="0"/>
    </w:pPr>
    <w:rPr>
      <w:rFonts w:ascii="宋体"/>
      <w:b/>
      <w:sz w:val="32"/>
      <w:szCs w:val="20"/>
    </w:rPr>
  </w:style>
  <w:style w:type="paragraph" w:styleId="811">
    <w:name w:val="标题 2"/>
    <w:basedOn w:val="809"/>
    <w:next w:val="823"/>
    <w:link w:val="822"/>
    <w:qFormat/>
    <w:pPr>
      <w:jc w:val="center"/>
      <w:keepLines/>
      <w:keepNext/>
      <w:spacing w:before="120" w:line="300" w:lineRule="auto"/>
      <w:outlineLvl w:val="1"/>
    </w:pPr>
    <w:rPr>
      <w:rFonts w:ascii="Arial" w:hAnsi="Arial" w:eastAsia="黑体"/>
      <w:b/>
      <w:sz w:val="30"/>
      <w:szCs w:val="20"/>
    </w:rPr>
  </w:style>
  <w:style w:type="paragraph" w:styleId="812">
    <w:name w:val="标题 3"/>
    <w:basedOn w:val="809"/>
    <w:next w:val="809"/>
    <w:link w:val="825"/>
    <w:qFormat/>
    <w:pPr>
      <w:jc w:val="left"/>
      <w:keepLines/>
      <w:keepNext/>
      <w:spacing w:before="360" w:after="120"/>
      <w:outlineLvl w:val="2"/>
    </w:pPr>
    <w:rPr>
      <w:rFonts w:ascii="宋体"/>
      <w:b/>
      <w:sz w:val="24"/>
      <w:szCs w:val="20"/>
      <w:u w:val="single"/>
    </w:rPr>
  </w:style>
  <w:style w:type="paragraph" w:styleId="813">
    <w:name w:val="标题 4"/>
    <w:basedOn w:val="809"/>
    <w:next w:val="809"/>
    <w:link w:val="826"/>
    <w:qFormat/>
    <w:pPr>
      <w:keepLines/>
      <w:keepNext/>
      <w:spacing w:before="280" w:after="290" w:line="376" w:lineRule="atLeast"/>
      <w:outlineLvl w:val="3"/>
    </w:pPr>
    <w:rPr>
      <w:rFonts w:ascii="Arial" w:hAnsi="Arial" w:eastAsia="黑体"/>
      <w:b/>
      <w:sz w:val="28"/>
      <w:szCs w:val="20"/>
    </w:rPr>
  </w:style>
  <w:style w:type="paragraph" w:styleId="814">
    <w:name w:val="标题 5"/>
    <w:basedOn w:val="809"/>
    <w:next w:val="809"/>
    <w:link w:val="827"/>
    <w:qFormat/>
    <w:pPr>
      <w:keepLines/>
      <w:keepNext/>
      <w:spacing w:before="280" w:after="290" w:line="376" w:lineRule="atLeast"/>
      <w:outlineLvl w:val="4"/>
    </w:pPr>
    <w:rPr>
      <w:b/>
      <w:sz w:val="28"/>
      <w:szCs w:val="20"/>
    </w:rPr>
  </w:style>
  <w:style w:type="paragraph" w:styleId="815">
    <w:name w:val="标题 6"/>
    <w:basedOn w:val="809"/>
    <w:next w:val="809"/>
    <w:link w:val="828"/>
    <w:qFormat/>
    <w:pPr>
      <w:keepLines/>
      <w:keepNext/>
      <w:spacing w:before="240" w:after="64" w:line="320" w:lineRule="atLeast"/>
      <w:outlineLvl w:val="5"/>
    </w:pPr>
    <w:rPr>
      <w:rFonts w:ascii="Arial" w:hAnsi="Arial" w:eastAsia="黑体"/>
      <w:b/>
      <w:sz w:val="24"/>
      <w:szCs w:val="20"/>
    </w:rPr>
  </w:style>
  <w:style w:type="paragraph" w:styleId="816">
    <w:name w:val="标题 7"/>
    <w:basedOn w:val="809"/>
    <w:next w:val="809"/>
    <w:link w:val="829"/>
    <w:qFormat/>
    <w:pPr>
      <w:keepLines/>
      <w:keepNext/>
      <w:spacing w:before="240" w:after="64" w:line="320" w:lineRule="atLeast"/>
      <w:outlineLvl w:val="6"/>
    </w:pPr>
    <w:rPr>
      <w:b/>
      <w:sz w:val="24"/>
      <w:szCs w:val="20"/>
    </w:rPr>
  </w:style>
  <w:style w:type="paragraph" w:styleId="817">
    <w:name w:val="标题 8"/>
    <w:basedOn w:val="809"/>
    <w:next w:val="809"/>
    <w:link w:val="830"/>
    <w:qFormat/>
    <w:pPr>
      <w:keepLines/>
      <w:keepNext/>
      <w:spacing w:before="240" w:after="64" w:line="320" w:lineRule="atLeast"/>
      <w:outlineLvl w:val="7"/>
    </w:pPr>
    <w:rPr>
      <w:rFonts w:ascii="Arial" w:hAnsi="Arial" w:eastAsia="黑体"/>
      <w:sz w:val="24"/>
      <w:szCs w:val="20"/>
    </w:rPr>
  </w:style>
  <w:style w:type="paragraph" w:styleId="818">
    <w:name w:val="标题 9"/>
    <w:basedOn w:val="809"/>
    <w:next w:val="809"/>
    <w:link w:val="831"/>
    <w:qFormat/>
    <w:pPr>
      <w:keepLines/>
      <w:keepNext/>
      <w:spacing w:before="240" w:after="64" w:line="320" w:lineRule="atLeast"/>
      <w:outlineLvl w:val="8"/>
    </w:pPr>
    <w:rPr>
      <w:rFonts w:ascii="Arial" w:hAnsi="Arial" w:eastAsia="黑体"/>
      <w:szCs w:val="20"/>
    </w:rPr>
  </w:style>
  <w:style w:type="character" w:styleId="819">
    <w:name w:val="默认段落字体"/>
    <w:next w:val="819"/>
    <w:link w:val="809"/>
    <w:uiPriority w:val="1"/>
    <w:unhideWhenUsed/>
    <w:qFormat/>
  </w:style>
  <w:style w:type="table" w:styleId="820">
    <w:name w:val="普通表格"/>
    <w:next w:val="820"/>
    <w:link w:val="809"/>
    <w:uiPriority w:val="99"/>
    <w:unhideWhenUsed/>
    <w:qFormat/>
    <w:tblPr/>
  </w:style>
  <w:style w:type="character" w:styleId="821">
    <w:name w:val="标题 1 Char"/>
    <w:basedOn w:val="819"/>
    <w:next w:val="821"/>
    <w:link w:val="810"/>
    <w:qFormat/>
    <w:rPr>
      <w:rFonts w:ascii="宋体"/>
      <w:b/>
      <w:sz w:val="32"/>
    </w:rPr>
  </w:style>
  <w:style w:type="character" w:styleId="822">
    <w:name w:val="标题 2 Char1"/>
    <w:next w:val="822"/>
    <w:link w:val="811"/>
    <w:qFormat/>
    <w:rPr>
      <w:rFonts w:ascii="Arial" w:hAnsi="Arial" w:eastAsia="黑体"/>
      <w:b/>
      <w:sz w:val="30"/>
      <w:lang w:val="en-US" w:eastAsia="zh-CN" w:bidi="ar-SA"/>
    </w:rPr>
  </w:style>
  <w:style w:type="paragraph" w:styleId="823">
    <w:name w:val="正文缩进"/>
    <w:basedOn w:val="809"/>
    <w:next w:val="823"/>
    <w:link w:val="824"/>
    <w:qFormat/>
    <w:pPr>
      <w:ind w:firstLine="420"/>
      <w:jc w:val="left"/>
    </w:pPr>
    <w:rPr>
      <w:rFonts w:ascii="宋体"/>
      <w:sz w:val="24"/>
    </w:rPr>
  </w:style>
  <w:style w:type="character" w:styleId="824">
    <w:name w:val="正文缩进 Char1"/>
    <w:next w:val="824"/>
    <w:link w:val="823"/>
    <w:qFormat/>
    <w:rPr>
      <w:rFonts w:ascii="宋体" w:eastAsia="宋体"/>
      <w:sz w:val="24"/>
      <w:szCs w:val="24"/>
      <w:lang w:val="en-US" w:eastAsia="zh-CN" w:bidi="ar-SA"/>
    </w:rPr>
  </w:style>
  <w:style w:type="character" w:styleId="825">
    <w:name w:val="标题 3 Char1"/>
    <w:next w:val="825"/>
    <w:link w:val="812"/>
    <w:qFormat/>
    <w:rPr>
      <w:rFonts w:ascii="宋体" w:eastAsia="宋体"/>
      <w:b/>
      <w:sz w:val="24"/>
      <w:u w:val="single"/>
      <w:lang w:val="en-US" w:eastAsia="zh-CN" w:bidi="ar-SA"/>
    </w:rPr>
  </w:style>
  <w:style w:type="character" w:styleId="826">
    <w:name w:val="标题 4 Char"/>
    <w:basedOn w:val="819"/>
    <w:next w:val="826"/>
    <w:link w:val="813"/>
    <w:qFormat/>
    <w:rPr>
      <w:rFonts w:ascii="Arial" w:hAnsi="Arial" w:eastAsia="黑体"/>
      <w:b/>
      <w:sz w:val="28"/>
    </w:rPr>
  </w:style>
  <w:style w:type="character" w:styleId="827">
    <w:name w:val="标题 5 Char"/>
    <w:basedOn w:val="819"/>
    <w:next w:val="827"/>
    <w:link w:val="814"/>
    <w:qFormat/>
    <w:rPr>
      <w:b/>
      <w:sz w:val="28"/>
    </w:rPr>
  </w:style>
  <w:style w:type="character" w:styleId="828">
    <w:name w:val="标题 6 Char"/>
    <w:basedOn w:val="819"/>
    <w:next w:val="828"/>
    <w:link w:val="815"/>
    <w:qFormat/>
    <w:rPr>
      <w:rFonts w:ascii="Arial" w:hAnsi="Arial" w:eastAsia="黑体"/>
      <w:b/>
      <w:sz w:val="24"/>
    </w:rPr>
  </w:style>
  <w:style w:type="character" w:styleId="829">
    <w:name w:val="标题 7 Char"/>
    <w:basedOn w:val="819"/>
    <w:next w:val="829"/>
    <w:link w:val="816"/>
    <w:qFormat/>
    <w:rPr>
      <w:b/>
      <w:sz w:val="24"/>
    </w:rPr>
  </w:style>
  <w:style w:type="character" w:styleId="830">
    <w:name w:val="标题 8 Char"/>
    <w:basedOn w:val="819"/>
    <w:next w:val="830"/>
    <w:link w:val="817"/>
    <w:qFormat/>
    <w:rPr>
      <w:rFonts w:ascii="Arial" w:hAnsi="Arial" w:eastAsia="黑体"/>
      <w:sz w:val="24"/>
    </w:rPr>
  </w:style>
  <w:style w:type="character" w:styleId="831">
    <w:name w:val="标题 9 Char"/>
    <w:basedOn w:val="819"/>
    <w:next w:val="831"/>
    <w:link w:val="818"/>
    <w:qFormat/>
    <w:rPr>
      <w:rFonts w:ascii="Arial" w:hAnsi="Arial" w:eastAsia="黑体"/>
      <w:sz w:val="21"/>
    </w:rPr>
  </w:style>
  <w:style w:type="paragraph" w:styleId="832">
    <w:name w:val="目录 7"/>
    <w:basedOn w:val="809"/>
    <w:next w:val="809"/>
    <w:link w:val="809"/>
    <w:qFormat/>
    <w:pPr>
      <w:ind w:left="2520"/>
    </w:pPr>
  </w:style>
  <w:style w:type="paragraph" w:styleId="833">
    <w:name w:val="题注"/>
    <w:basedOn w:val="809"/>
    <w:next w:val="809"/>
    <w:link w:val="809"/>
    <w:qFormat/>
    <w:pPr>
      <w:spacing w:line="480" w:lineRule="auto"/>
    </w:pPr>
    <w:rPr>
      <w:rFonts w:ascii="华文中宋" w:hAnsi="华文中宋" w:eastAsia="华文中宋"/>
      <w:sz w:val="36"/>
      <w:szCs w:val="20"/>
    </w:rPr>
  </w:style>
  <w:style w:type="paragraph" w:styleId="834">
    <w:name w:val="文档结构图"/>
    <w:basedOn w:val="809"/>
    <w:next w:val="834"/>
    <w:link w:val="835"/>
    <w:qFormat/>
    <w:pPr>
      <w:shd w:val="clear" w:color="auto" w:fill="000080"/>
    </w:pPr>
  </w:style>
  <w:style w:type="character" w:styleId="835">
    <w:name w:val="文档结构图 Char"/>
    <w:basedOn w:val="819"/>
    <w:next w:val="835"/>
    <w:link w:val="834"/>
    <w:qFormat/>
    <w:rPr>
      <w:sz w:val="21"/>
      <w:szCs w:val="24"/>
      <w:shd w:val="clear" w:color="auto" w:fill="000080"/>
    </w:rPr>
  </w:style>
  <w:style w:type="paragraph" w:styleId="836">
    <w:name w:val="批注文字"/>
    <w:basedOn w:val="809"/>
    <w:next w:val="836"/>
    <w:link w:val="837"/>
    <w:uiPriority w:val="99"/>
    <w:qFormat/>
    <w:pPr>
      <w:jc w:val="left"/>
    </w:pPr>
  </w:style>
  <w:style w:type="character" w:styleId="837">
    <w:name w:val="批注文字 Char1"/>
    <w:next w:val="837"/>
    <w:link w:val="836"/>
    <w:uiPriority w:val="99"/>
    <w:qFormat/>
    <w:rPr>
      <w:sz w:val="21"/>
      <w:szCs w:val="24"/>
    </w:rPr>
  </w:style>
  <w:style w:type="paragraph" w:styleId="838">
    <w:name w:val="正文文本 3"/>
    <w:basedOn w:val="809"/>
    <w:next w:val="838"/>
    <w:link w:val="839"/>
    <w:qFormat/>
    <w:pPr>
      <w:spacing w:after="120"/>
    </w:pPr>
    <w:rPr>
      <w:sz w:val="16"/>
      <w:szCs w:val="16"/>
    </w:rPr>
  </w:style>
  <w:style w:type="character" w:styleId="839">
    <w:name w:val="正文文本 3 Char"/>
    <w:basedOn w:val="819"/>
    <w:next w:val="839"/>
    <w:link w:val="838"/>
    <w:qFormat/>
    <w:rPr>
      <w:sz w:val="16"/>
      <w:szCs w:val="16"/>
    </w:rPr>
  </w:style>
  <w:style w:type="paragraph" w:styleId="840">
    <w:name w:val="正文文本"/>
    <w:basedOn w:val="809"/>
    <w:next w:val="840"/>
    <w:link w:val="841"/>
    <w:qFormat/>
    <w:pPr>
      <w:spacing w:before="120" w:line="22" w:lineRule="atLeast"/>
      <w:tabs>
        <w:tab w:val="left" w:pos="567" w:leader="none"/>
      </w:tabs>
    </w:pPr>
    <w:rPr>
      <w:rFonts w:ascii="宋体" w:hAnsi="宋体"/>
      <w:sz w:val="24"/>
    </w:rPr>
  </w:style>
  <w:style w:type="character" w:styleId="841">
    <w:name w:val="正文文本 Char"/>
    <w:basedOn w:val="819"/>
    <w:next w:val="841"/>
    <w:link w:val="840"/>
    <w:qFormat/>
    <w:rPr>
      <w:rFonts w:ascii="宋体" w:hAnsi="宋体"/>
      <w:sz w:val="24"/>
      <w:szCs w:val="24"/>
    </w:rPr>
  </w:style>
  <w:style w:type="paragraph" w:styleId="842">
    <w:name w:val="正文文本缩进"/>
    <w:basedOn w:val="809"/>
    <w:next w:val="809"/>
    <w:link w:val="843"/>
    <w:qFormat/>
    <w:pPr>
      <w:ind w:firstLine="570"/>
      <w:spacing w:line="360" w:lineRule="auto"/>
    </w:pPr>
    <w:rPr>
      <w:sz w:val="24"/>
    </w:rPr>
  </w:style>
  <w:style w:type="character" w:styleId="843">
    <w:name w:val="正文文本缩进 Char2"/>
    <w:next w:val="843"/>
    <w:link w:val="842"/>
    <w:qFormat/>
    <w:rPr>
      <w:rFonts w:eastAsia="宋体"/>
      <w:sz w:val="24"/>
      <w:szCs w:val="24"/>
      <w:lang w:val="en-US" w:eastAsia="zh-CN" w:bidi="ar-SA"/>
    </w:rPr>
  </w:style>
  <w:style w:type="paragraph" w:styleId="844">
    <w:name w:val="列表 2"/>
    <w:basedOn w:val="809"/>
    <w:next w:val="844"/>
    <w:link w:val="809"/>
    <w:qFormat/>
    <w:pPr>
      <w:ind w:left="100" w:hanging="200"/>
    </w:pPr>
  </w:style>
  <w:style w:type="paragraph" w:styleId="845">
    <w:name w:val="文本块"/>
    <w:basedOn w:val="809"/>
    <w:next w:val="845"/>
    <w:link w:val="809"/>
    <w:qFormat/>
    <w:pPr>
      <w:ind w:left="480" w:right="-341" w:firstLine="513"/>
      <w:widowControl/>
    </w:pPr>
    <w:rPr>
      <w:sz w:val="24"/>
      <w:szCs w:val="20"/>
    </w:rPr>
  </w:style>
  <w:style w:type="paragraph" w:styleId="846">
    <w:name w:val="索引 4"/>
    <w:basedOn w:val="809"/>
    <w:next w:val="809"/>
    <w:link w:val="809"/>
    <w:qFormat/>
    <w:pPr>
      <w:ind w:left="600"/>
    </w:pPr>
    <w:rPr>
      <w:rFonts w:ascii="Verdana" w:hAnsi="Verdana"/>
      <w:szCs w:val="20"/>
    </w:rPr>
  </w:style>
  <w:style w:type="paragraph" w:styleId="847">
    <w:name w:val="目录 5"/>
    <w:basedOn w:val="809"/>
    <w:next w:val="809"/>
    <w:link w:val="809"/>
    <w:qFormat/>
    <w:pPr>
      <w:ind w:left="1680"/>
    </w:pPr>
  </w:style>
  <w:style w:type="paragraph" w:styleId="848">
    <w:name w:val="目录 3"/>
    <w:basedOn w:val="809"/>
    <w:next w:val="809"/>
    <w:link w:val="809"/>
    <w:uiPriority w:val="39"/>
    <w:qFormat/>
    <w:pPr>
      <w:ind w:left="840"/>
    </w:pPr>
  </w:style>
  <w:style w:type="paragraph" w:styleId="849">
    <w:name w:val="纯文本"/>
    <w:basedOn w:val="809"/>
    <w:next w:val="849"/>
    <w:link w:val="850"/>
    <w:qFormat/>
    <w:rPr>
      <w:rFonts w:hint="eastAsia" w:ascii="宋体" w:hAnsi="Courier New"/>
      <w:szCs w:val="20"/>
    </w:rPr>
  </w:style>
  <w:style w:type="character" w:styleId="850">
    <w:name w:val="纯文本 Char"/>
    <w:basedOn w:val="819"/>
    <w:next w:val="850"/>
    <w:link w:val="849"/>
    <w:qFormat/>
    <w:rPr>
      <w:rFonts w:hint="eastAsia" w:ascii="宋体" w:hAnsi="Courier New" w:eastAsia="宋体" w:cs="宋体"/>
      <w:sz w:val="21"/>
    </w:rPr>
  </w:style>
  <w:style w:type="paragraph" w:styleId="851">
    <w:name w:val="目录 8"/>
    <w:basedOn w:val="809"/>
    <w:next w:val="809"/>
    <w:link w:val="809"/>
    <w:qFormat/>
    <w:pPr>
      <w:ind w:left="2940"/>
    </w:pPr>
  </w:style>
  <w:style w:type="paragraph" w:styleId="852">
    <w:name w:val="日期"/>
    <w:basedOn w:val="809"/>
    <w:next w:val="809"/>
    <w:link w:val="853"/>
    <w:qFormat/>
    <w:pPr>
      <w:ind w:left="100"/>
    </w:pPr>
    <w:rPr>
      <w:rFonts w:ascii="仿宋_GB2312" w:hAnsi="宋体" w:eastAsia="仿宋_GB2312"/>
      <w:color w:val="000000"/>
      <w:sz w:val="24"/>
    </w:rPr>
  </w:style>
  <w:style w:type="character" w:styleId="853">
    <w:name w:val="日期 Char"/>
    <w:basedOn w:val="819"/>
    <w:next w:val="853"/>
    <w:link w:val="852"/>
    <w:qFormat/>
    <w:rPr>
      <w:rFonts w:ascii="仿宋_GB2312" w:hAnsi="宋体" w:eastAsia="仿宋_GB2312"/>
      <w:color w:val="000000"/>
      <w:sz w:val="24"/>
      <w:szCs w:val="24"/>
    </w:rPr>
  </w:style>
  <w:style w:type="paragraph" w:styleId="854">
    <w:name w:val="正文文本缩进 2"/>
    <w:basedOn w:val="809"/>
    <w:next w:val="854"/>
    <w:link w:val="855"/>
    <w:qFormat/>
    <w:pPr>
      <w:ind w:firstLine="480"/>
    </w:pPr>
    <w:rPr>
      <w:rFonts w:ascii="仿宋_GB2312" w:eastAsia="仿宋_GB2312"/>
      <w:sz w:val="24"/>
    </w:rPr>
  </w:style>
  <w:style w:type="character" w:styleId="855">
    <w:name w:val="正文文本缩进 2 Char"/>
    <w:basedOn w:val="819"/>
    <w:next w:val="855"/>
    <w:link w:val="854"/>
    <w:qFormat/>
    <w:rPr>
      <w:rFonts w:ascii="仿宋_GB2312" w:eastAsia="仿宋_GB2312"/>
      <w:sz w:val="24"/>
      <w:szCs w:val="24"/>
    </w:rPr>
  </w:style>
  <w:style w:type="paragraph" w:styleId="856">
    <w:name w:val="批注框文本"/>
    <w:basedOn w:val="809"/>
    <w:next w:val="856"/>
    <w:link w:val="857"/>
    <w:qFormat/>
    <w:rPr>
      <w:sz w:val="18"/>
      <w:szCs w:val="18"/>
    </w:rPr>
  </w:style>
  <w:style w:type="character" w:styleId="857">
    <w:name w:val="批注框文本 Char"/>
    <w:basedOn w:val="819"/>
    <w:next w:val="857"/>
    <w:link w:val="856"/>
    <w:qFormat/>
    <w:rPr>
      <w:sz w:val="18"/>
      <w:szCs w:val="18"/>
    </w:rPr>
  </w:style>
  <w:style w:type="paragraph" w:styleId="858">
    <w:name w:val="页脚"/>
    <w:basedOn w:val="809"/>
    <w:next w:val="858"/>
    <w:link w:val="859"/>
    <w:uiPriority w:val="99"/>
    <w:qFormat/>
    <w:pPr>
      <w:jc w:val="left"/>
      <w:tabs>
        <w:tab w:val="center" w:pos="4153" w:leader="none"/>
        <w:tab w:val="right" w:pos="8306" w:leader="none"/>
      </w:tabs>
    </w:pPr>
    <w:rPr>
      <w:rFonts w:ascii="宋体"/>
      <w:sz w:val="18"/>
      <w:szCs w:val="20"/>
    </w:rPr>
  </w:style>
  <w:style w:type="character" w:styleId="859">
    <w:name w:val="页脚 Char1"/>
    <w:next w:val="859"/>
    <w:link w:val="858"/>
    <w:uiPriority w:val="99"/>
    <w:qFormat/>
    <w:rPr>
      <w:rFonts w:ascii="宋体" w:eastAsia="宋体"/>
      <w:sz w:val="18"/>
      <w:lang w:val="en-US" w:eastAsia="zh-CN" w:bidi="ar-SA"/>
    </w:rPr>
  </w:style>
  <w:style w:type="paragraph" w:styleId="860">
    <w:name w:val="页眉"/>
    <w:basedOn w:val="809"/>
    <w:next w:val="860"/>
    <w:link w:val="861"/>
    <w:qFormat/>
    <w:pPr>
      <w:jc w:val="center"/>
      <w:tabs>
        <w:tab w:val="center" w:pos="4153" w:leader="none"/>
        <w:tab w:val="right" w:pos="8306" w:leader="none"/>
      </w:tabs>
      <w:pBdr>
        <w:bottom w:val="single" w:color="000000" w:sz="6" w:space="1"/>
      </w:pBdr>
    </w:pPr>
    <w:rPr>
      <w:sz w:val="18"/>
      <w:szCs w:val="18"/>
    </w:rPr>
  </w:style>
  <w:style w:type="character" w:styleId="861">
    <w:name w:val="页眉 Char1"/>
    <w:next w:val="861"/>
    <w:link w:val="860"/>
    <w:qFormat/>
    <w:rPr>
      <w:rFonts w:eastAsia="宋体"/>
      <w:sz w:val="18"/>
      <w:szCs w:val="18"/>
      <w:lang w:val="en-US" w:eastAsia="zh-CN" w:bidi="ar-SA"/>
    </w:rPr>
  </w:style>
  <w:style w:type="paragraph" w:styleId="862">
    <w:name w:val="目录 1"/>
    <w:basedOn w:val="809"/>
    <w:next w:val="809"/>
    <w:link w:val="809"/>
    <w:uiPriority w:val="39"/>
    <w:qFormat/>
    <w:pPr>
      <w:spacing w:line="300" w:lineRule="auto"/>
      <w:tabs>
        <w:tab w:val="left" w:pos="1050" w:leader="none"/>
        <w:tab w:val="right" w:pos="8937" w:leader="dot"/>
      </w:tabs>
    </w:pPr>
    <w:rPr>
      <w:rFonts w:ascii="宋体" w:hAnsi="宋体"/>
      <w:b/>
      <w:sz w:val="24"/>
    </w:rPr>
  </w:style>
  <w:style w:type="paragraph" w:styleId="863">
    <w:name w:val="目录 4"/>
    <w:basedOn w:val="809"/>
    <w:next w:val="809"/>
    <w:link w:val="809"/>
    <w:qFormat/>
    <w:pPr>
      <w:ind w:left="1260"/>
    </w:pPr>
  </w:style>
  <w:style w:type="paragraph" w:styleId="864">
    <w:name w:val="目录 6"/>
    <w:basedOn w:val="809"/>
    <w:next w:val="809"/>
    <w:link w:val="809"/>
    <w:qFormat/>
    <w:pPr>
      <w:ind w:left="2100"/>
    </w:pPr>
  </w:style>
  <w:style w:type="paragraph" w:styleId="865">
    <w:name w:val="正文文本缩进 3"/>
    <w:basedOn w:val="809"/>
    <w:next w:val="865"/>
    <w:link w:val="866"/>
    <w:qFormat/>
    <w:pPr>
      <w:ind w:left="720" w:firstLine="480"/>
      <w:jc w:val="left"/>
      <w:spacing w:before="120" w:line="22" w:lineRule="atLeast"/>
    </w:pPr>
    <w:rPr>
      <w:rFonts w:ascii="宋体"/>
      <w:sz w:val="24"/>
      <w:szCs w:val="20"/>
    </w:rPr>
  </w:style>
  <w:style w:type="character" w:styleId="866">
    <w:name w:val="正文文本缩进 3 Char"/>
    <w:basedOn w:val="819"/>
    <w:next w:val="866"/>
    <w:link w:val="865"/>
    <w:qFormat/>
    <w:rPr>
      <w:rFonts w:ascii="宋体"/>
      <w:sz w:val="24"/>
    </w:rPr>
  </w:style>
  <w:style w:type="paragraph" w:styleId="867">
    <w:name w:val="目录 2"/>
    <w:basedOn w:val="809"/>
    <w:next w:val="809"/>
    <w:link w:val="809"/>
    <w:uiPriority w:val="39"/>
    <w:qFormat/>
    <w:pPr>
      <w:ind w:left="420"/>
      <w:spacing w:line="312" w:lineRule="auto"/>
      <w:tabs>
        <w:tab w:val="right" w:pos="8937" w:leader="dot"/>
      </w:tabs>
    </w:pPr>
  </w:style>
  <w:style w:type="paragraph" w:styleId="868">
    <w:name w:val="目录 9"/>
    <w:basedOn w:val="809"/>
    <w:next w:val="809"/>
    <w:link w:val="809"/>
    <w:qFormat/>
    <w:pPr>
      <w:ind w:left="3360"/>
    </w:pPr>
  </w:style>
  <w:style w:type="paragraph" w:styleId="869">
    <w:name w:val="HTML 预设格式"/>
    <w:basedOn w:val="809"/>
    <w:next w:val="869"/>
    <w:link w:val="8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0">
    <w:name w:val="HTML 预设格式 Char"/>
    <w:basedOn w:val="819"/>
    <w:next w:val="870"/>
    <w:link w:val="869"/>
    <w:qFormat/>
    <w:rPr>
      <w:rFonts w:ascii="宋体" w:hAnsi="宋体" w:cs="宋体"/>
      <w:sz w:val="24"/>
      <w:szCs w:val="24"/>
    </w:rPr>
  </w:style>
  <w:style w:type="paragraph" w:styleId="871">
    <w:name w:val="普通(网站)"/>
    <w:basedOn w:val="809"/>
    <w:next w:val="871"/>
    <w:link w:val="809"/>
    <w:uiPriority w:val="99"/>
    <w:unhideWhenUsed/>
    <w:qFormat/>
    <w:pPr>
      <w:jc w:val="left"/>
      <w:spacing w:before="100" w:beforeAutospacing="1" w:after="100" w:afterAutospacing="1"/>
      <w:widowControl/>
    </w:pPr>
    <w:rPr>
      <w:rFonts w:ascii="宋体" w:hAnsi="宋体" w:cs="宋体"/>
      <w:sz w:val="24"/>
    </w:rPr>
  </w:style>
  <w:style w:type="paragraph" w:styleId="872">
    <w:name w:val="索引 1"/>
    <w:basedOn w:val="809"/>
    <w:next w:val="809"/>
    <w:link w:val="809"/>
    <w:qFormat/>
    <w:rPr>
      <w:szCs w:val="20"/>
    </w:rPr>
  </w:style>
  <w:style w:type="paragraph" w:styleId="873">
    <w:name w:val="标题"/>
    <w:basedOn w:val="809"/>
    <w:next w:val="873"/>
    <w:link w:val="874"/>
    <w:qFormat/>
    <w:pPr>
      <w:jc w:val="center"/>
      <w:outlineLvl w:val="0"/>
    </w:pPr>
    <w:rPr>
      <w:b/>
      <w:sz w:val="32"/>
      <w:szCs w:val="20"/>
    </w:rPr>
  </w:style>
  <w:style w:type="character" w:styleId="874">
    <w:name w:val="标题 Char1"/>
    <w:next w:val="874"/>
    <w:link w:val="873"/>
    <w:qFormat/>
    <w:rPr>
      <w:b/>
      <w:sz w:val="32"/>
    </w:rPr>
  </w:style>
  <w:style w:type="paragraph" w:styleId="875">
    <w:name w:val="批注主题"/>
    <w:basedOn w:val="836"/>
    <w:next w:val="836"/>
    <w:link w:val="876"/>
    <w:qFormat/>
    <w:rPr>
      <w:b/>
      <w:bCs/>
    </w:rPr>
  </w:style>
  <w:style w:type="character" w:styleId="876">
    <w:name w:val="批注主题 Char"/>
    <w:basedOn w:val="877"/>
    <w:next w:val="876"/>
    <w:link w:val="875"/>
    <w:qFormat/>
    <w:rPr>
      <w:rFonts w:ascii="Times New Roman" w:hAnsi="Times New Roman" w:eastAsia="宋体" w:cs="Times New Roman"/>
      <w:b/>
      <w:bCs/>
      <w:sz w:val="21"/>
      <w:szCs w:val="24"/>
      <w:lang w:val="en-US" w:eastAsia="zh-CN" w:bidi="ar-SA"/>
    </w:rPr>
  </w:style>
  <w:style w:type="character" w:styleId="877">
    <w:name w:val="批注文字 字符"/>
    <w:next w:val="877"/>
    <w:link w:val="809"/>
    <w:uiPriority w:val="99"/>
    <w:qFormat/>
    <w:rPr>
      <w:rFonts w:ascii="Times New Roman" w:hAnsi="Times New Roman" w:eastAsia="宋体" w:cs="Times New Roman"/>
      <w:sz w:val="24"/>
      <w:lang w:val="en-US" w:eastAsia="zh-CN" w:bidi="ar-SA"/>
    </w:rPr>
  </w:style>
  <w:style w:type="paragraph" w:styleId="878">
    <w:name w:val="正文首行缩进"/>
    <w:basedOn w:val="840"/>
    <w:next w:val="878"/>
    <w:link w:val="809"/>
    <w:unhideWhenUsed/>
    <w:pPr>
      <w:ind w:firstLine="420"/>
      <w:spacing w:before="0" w:after="120" w:line="240" w:lineRule="auto"/>
      <w:tabs>
        <w:tab w:val="left" w:pos="567" w:leader="none"/>
      </w:tabs>
    </w:pPr>
    <w:rPr>
      <w:sz w:val="21"/>
    </w:rPr>
  </w:style>
  <w:style w:type="paragraph" w:styleId="879">
    <w:name w:val="正文首行缩进 2"/>
    <w:basedOn w:val="842"/>
    <w:next w:val="879"/>
    <w:link w:val="880"/>
    <w:qFormat/>
    <w:pPr>
      <w:ind w:left="420" w:firstLine="420"/>
      <w:spacing w:after="120" w:line="480" w:lineRule="exact"/>
    </w:pPr>
    <w:rPr>
      <w:szCs w:val="20"/>
    </w:rPr>
  </w:style>
  <w:style w:type="character" w:styleId="880">
    <w:name w:val="正文首行缩进 2 Char"/>
    <w:basedOn w:val="843"/>
    <w:next w:val="880"/>
    <w:link w:val="879"/>
    <w:qFormat/>
    <w:rPr>
      <w:rFonts w:eastAsia="宋体"/>
      <w:sz w:val="24"/>
      <w:szCs w:val="24"/>
      <w:lang w:val="en-US" w:eastAsia="zh-CN" w:bidi="ar-SA"/>
    </w:rPr>
  </w:style>
  <w:style w:type="table" w:styleId="881">
    <w:name w:val="网格型"/>
    <w:basedOn w:val="820"/>
    <w:next w:val="881"/>
    <w:link w:val="809"/>
    <w:uiPriority w:val="39"/>
    <w:qFormat/>
    <w:tblPr/>
  </w:style>
  <w:style w:type="table" w:styleId="882">
    <w:name w:val="中等深浅网格 1 - 强调文字颜色 2"/>
    <w:basedOn w:val="820"/>
    <w:next w:val="882"/>
    <w:link w:val="809"/>
    <w:qFormat/>
    <w:rPr>
      <w:sz w:val="21"/>
      <w:szCs w:val="24"/>
    </w:rPr>
    <w:tblPr/>
  </w:style>
  <w:style w:type="character" w:styleId="883">
    <w:name w:val="要点"/>
    <w:next w:val="883"/>
    <w:link w:val="809"/>
    <w:qFormat/>
    <w:rPr>
      <w:b/>
      <w:bCs/>
    </w:rPr>
  </w:style>
  <w:style w:type="character" w:styleId="884">
    <w:name w:val="页码"/>
    <w:basedOn w:val="819"/>
    <w:next w:val="884"/>
    <w:link w:val="809"/>
    <w:qFormat/>
  </w:style>
  <w:style w:type="character" w:styleId="885">
    <w:name w:val="已访问的超链接"/>
    <w:basedOn w:val="819"/>
    <w:next w:val="885"/>
    <w:link w:val="809"/>
    <w:qFormat/>
    <w:rPr>
      <w:color w:val="333333"/>
      <w:u w:val="none"/>
    </w:rPr>
  </w:style>
  <w:style w:type="character" w:styleId="886">
    <w:name w:val="强调"/>
    <w:next w:val="886"/>
    <w:link w:val="809"/>
    <w:qFormat/>
    <w:rPr>
      <w:color w:val="cc0033"/>
    </w:rPr>
  </w:style>
  <w:style w:type="character" w:styleId="887">
    <w:name w:val="超链接"/>
    <w:basedOn w:val="819"/>
    <w:next w:val="887"/>
    <w:link w:val="809"/>
    <w:uiPriority w:val="99"/>
    <w:qFormat/>
    <w:rPr>
      <w:color w:val="333333"/>
      <w:u w:val="none"/>
    </w:rPr>
  </w:style>
  <w:style w:type="character" w:styleId="888">
    <w:name w:val="批注引用"/>
    <w:next w:val="888"/>
    <w:link w:val="809"/>
    <w:uiPriority w:val="99"/>
    <w:qFormat/>
    <w:rPr>
      <w:sz w:val="21"/>
      <w:szCs w:val="21"/>
    </w:rPr>
  </w:style>
  <w:style w:type="character" w:styleId="889">
    <w:name w:val="HTML 引文"/>
    <w:next w:val="889"/>
    <w:link w:val="809"/>
    <w:qFormat/>
    <w:rPr>
      <w:i/>
      <w:iCs/>
    </w:rPr>
  </w:style>
  <w:style w:type="character" w:styleId="890">
    <w:name w:val="c21"/>
    <w:next w:val="890"/>
    <w:link w:val="809"/>
    <w:qFormat/>
    <w:rPr>
      <w:rFonts w:ascii="ˎ̥" w:hAnsi="ˎ̥"/>
      <w:color w:val="000000"/>
      <w:sz w:val="20"/>
      <w:szCs w:val="20"/>
      <w:u w:val="none"/>
    </w:rPr>
  </w:style>
  <w:style w:type="character" w:styleId="891">
    <w:name w:val="title4"/>
    <w:next w:val="891"/>
    <w:link w:val="809"/>
    <w:qFormat/>
    <w:rPr>
      <w:b/>
      <w:bCs/>
      <w:color w:val="1d87b3"/>
      <w:sz w:val="15"/>
      <w:szCs w:val="15"/>
    </w:rPr>
  </w:style>
  <w:style w:type="character" w:styleId="892">
    <w:name w:val="标题 2 Char Char"/>
    <w:next w:val="892"/>
    <w:link w:val="809"/>
    <w:qFormat/>
    <w:rPr>
      <w:rFonts w:ascii="Arial" w:hAnsi="Arial" w:eastAsia="黑体"/>
      <w:b/>
      <w:bCs/>
      <w:sz w:val="32"/>
      <w:szCs w:val="32"/>
      <w:lang w:val="en-US" w:eastAsia="zh-CN" w:bidi="ar-SA"/>
    </w:rPr>
  </w:style>
  <w:style w:type="character" w:styleId="893">
    <w:name w:val="black1"/>
    <w:next w:val="893"/>
    <w:link w:val="809"/>
    <w:qFormat/>
    <w:rPr>
      <w:color w:val="000000"/>
    </w:rPr>
  </w:style>
  <w:style w:type="character" w:styleId="894">
    <w:name w:val="street-address"/>
    <w:basedOn w:val="819"/>
    <w:next w:val="894"/>
    <w:link w:val="809"/>
    <w:qFormat/>
  </w:style>
  <w:style w:type="character" w:styleId="895">
    <w:name w:val="locality"/>
    <w:basedOn w:val="819"/>
    <w:next w:val="895"/>
    <w:link w:val="809"/>
    <w:qFormat/>
  </w:style>
  <w:style w:type="character" w:styleId="896">
    <w:name w:val="正文文本缩进 Char1"/>
    <w:next w:val="896"/>
    <w:link w:val="897"/>
    <w:qFormat/>
    <w:rPr>
      <w:rFonts w:ascii="宋体" w:hAnsi="宋体" w:eastAsia="宋体"/>
      <w:sz w:val="24"/>
      <w:szCs w:val="24"/>
      <w:lang w:bidi="ar-SA"/>
    </w:rPr>
  </w:style>
  <w:style w:type="paragraph" w:styleId="897">
    <w:name w:val="正文文本缩进1"/>
    <w:basedOn w:val="809"/>
    <w:next w:val="897"/>
    <w:link w:val="896"/>
    <w:qFormat/>
    <w:pPr>
      <w:ind w:firstLine="480"/>
      <w:spacing w:line="480" w:lineRule="exact"/>
    </w:pPr>
    <w:rPr>
      <w:rFonts w:ascii="宋体" w:hAnsi="宋体"/>
      <w:sz w:val="24"/>
    </w:rPr>
  </w:style>
  <w:style w:type="character" w:styleId="898">
    <w:name w:val="Char Char11"/>
    <w:next w:val="898"/>
    <w:link w:val="809"/>
    <w:qFormat/>
    <w:rPr>
      <w:rFonts w:ascii="宋体" w:eastAsia="宋体"/>
      <w:b/>
      <w:sz w:val="24"/>
      <w:u w:val="single"/>
      <w:lang w:val="en-US" w:eastAsia="zh-CN" w:bidi="ar-SA"/>
    </w:rPr>
  </w:style>
  <w:style w:type="character" w:styleId="899">
    <w:name w:val="txt"/>
    <w:basedOn w:val="819"/>
    <w:next w:val="899"/>
    <w:link w:val="809"/>
    <w:qFormat/>
  </w:style>
  <w:style w:type="character" w:styleId="900">
    <w:name w:val="正文缩进 Char Char"/>
    <w:next w:val="900"/>
    <w:link w:val="901"/>
    <w:qFormat/>
    <w:rPr>
      <w:rFonts w:ascii="宋体" w:eastAsia="宋体"/>
      <w:color w:val="000000"/>
      <w:sz w:val="28"/>
      <w:lang w:bidi="ar-SA"/>
    </w:rPr>
  </w:style>
  <w:style w:type="paragraph" w:styleId="901">
    <w:name w:val="正文缩进1"/>
    <w:basedOn w:val="809"/>
    <w:next w:val="901"/>
    <w:link w:val="900"/>
    <w:qFormat/>
    <w:pPr>
      <w:ind w:firstLine="567"/>
      <w:spacing w:line="480" w:lineRule="exact"/>
      <w:widowControl/>
    </w:pPr>
    <w:rPr>
      <w:rFonts w:ascii="宋体"/>
      <w:color w:val="000000"/>
      <w:sz w:val="28"/>
      <w:szCs w:val="20"/>
    </w:rPr>
  </w:style>
  <w:style w:type="character" w:styleId="902">
    <w:name w:val="普通文字1 Char1"/>
    <w:next w:val="902"/>
    <w:link w:val="809"/>
    <w:qFormat/>
    <w:rPr>
      <w:rFonts w:ascii="宋体" w:hAnsi="Courier New" w:eastAsia="宋体"/>
      <w:sz w:val="21"/>
      <w:lang w:val="en-US" w:eastAsia="zh-CN" w:bidi="ar-SA"/>
    </w:rPr>
  </w:style>
  <w:style w:type="character" w:styleId="903">
    <w:name w:val="chanpin1"/>
    <w:next w:val="903"/>
    <w:link w:val="809"/>
    <w:qFormat/>
    <w:rPr>
      <w:rFonts w:ascii="ˎ̥" w:hAnsi="ˎ̥"/>
      <w:color w:val="000000"/>
      <w:sz w:val="20"/>
      <w:szCs w:val="20"/>
      <w:u w:val="none"/>
    </w:rPr>
  </w:style>
  <w:style w:type="character" w:styleId="904">
    <w:name w:val="列出段落 Char1"/>
    <w:next w:val="904"/>
    <w:link w:val="905"/>
    <w:uiPriority w:val="34"/>
    <w:qFormat/>
    <w:rPr>
      <w:rFonts w:ascii="Calibri" w:hAnsi="Calibri" w:eastAsia="宋体"/>
      <w:sz w:val="21"/>
      <w:szCs w:val="22"/>
      <w:lang w:val="en-US" w:eastAsia="zh-CN" w:bidi="ar-SA"/>
    </w:rPr>
  </w:style>
  <w:style w:type="paragraph" w:styleId="905">
    <w:name w:val="列出段落"/>
    <w:basedOn w:val="809"/>
    <w:next w:val="905"/>
    <w:link w:val="904"/>
    <w:uiPriority w:val="34"/>
    <w:qFormat/>
    <w:pPr>
      <w:ind w:firstLine="420"/>
    </w:pPr>
    <w:rPr>
      <w:rFonts w:ascii="Calibri" w:hAnsi="Calibri"/>
      <w:szCs w:val="22"/>
    </w:rPr>
  </w:style>
  <w:style w:type="character" w:styleId="906">
    <w:name w:val="标题 3 Char Char"/>
    <w:next w:val="906"/>
    <w:link w:val="809"/>
    <w:qFormat/>
    <w:rPr>
      <w:rFonts w:eastAsia="宋体"/>
      <w:b/>
      <w:bCs/>
      <w:sz w:val="32"/>
      <w:szCs w:val="32"/>
      <w:lang w:val="en-US" w:eastAsia="zh-CN" w:bidi="ar-SA"/>
    </w:rPr>
  </w:style>
  <w:style w:type="character" w:styleId="907">
    <w:name w:val="段1 Char"/>
    <w:next w:val="907"/>
    <w:link w:val="809"/>
    <w:qFormat/>
    <w:rPr>
      <w:rFonts w:ascii="宋体" w:eastAsia="宋体"/>
      <w:sz w:val="24"/>
      <w:lang w:val="en-US" w:eastAsia="zh-CN" w:bidi="ar-SA"/>
    </w:rPr>
  </w:style>
  <w:style w:type="character" w:styleId="908">
    <w:name w:val="chanpin拷贝"/>
    <w:basedOn w:val="819"/>
    <w:next w:val="908"/>
    <w:link w:val="809"/>
    <w:qFormat/>
  </w:style>
  <w:style w:type="character" w:styleId="909">
    <w:name w:val="纯文本 Char1"/>
    <w:next w:val="909"/>
    <w:link w:val="809"/>
    <w:qFormat/>
    <w:rPr>
      <w:rFonts w:ascii="宋体" w:hAnsi="Courier New" w:eastAsia="宋体"/>
      <w:sz w:val="21"/>
      <w:lang w:val="en-US" w:eastAsia="zh-CN" w:bidi="ar-SA"/>
    </w:rPr>
  </w:style>
  <w:style w:type="character" w:styleId="910">
    <w:name w:val="apple-style-span"/>
    <w:next w:val="910"/>
    <w:link w:val="809"/>
    <w:qFormat/>
    <w:rPr>
      <w:rFonts w:cs="Times New Roman"/>
    </w:rPr>
  </w:style>
  <w:style w:type="paragraph" w:styleId="911">
    <w:name w:val="二级条标题"/>
    <w:basedOn w:val="912"/>
    <w:next w:val="809"/>
    <w:link w:val="809"/>
    <w:qFormat/>
    <w:pPr>
      <w:numPr>
        <w:ilvl w:val="0"/>
        <w:numId w:val="0"/>
      </w:numPr>
      <w:ind w:hanging="840"/>
      <w:tabs>
        <w:tab w:val="left" w:pos="360" w:leader="none"/>
        <w:tab w:val="left" w:pos="840" w:leader="none"/>
      </w:tabs>
      <w:outlineLvl w:val="2"/>
    </w:pPr>
    <w:rPr>
      <w:rFonts w:ascii="宋体" w:eastAsia="宋体"/>
      <w:b w:val="0"/>
    </w:rPr>
  </w:style>
  <w:style w:type="paragraph" w:styleId="912">
    <w:name w:val="一级条标题"/>
    <w:basedOn w:val="913"/>
    <w:next w:val="809"/>
    <w:link w:val="809"/>
    <w:qFormat/>
    <w:pPr>
      <w:numPr>
        <w:ilvl w:val="1"/>
      </w:numPr>
      <w:ind w:left="0" w:hanging="840"/>
      <w:tabs>
        <w:tab w:val="left" w:pos="360" w:leader="none"/>
        <w:tab w:val="left" w:pos="840" w:leader="none"/>
      </w:tabs>
      <w:outlineLvl w:val="1"/>
    </w:pPr>
  </w:style>
  <w:style w:type="paragraph" w:styleId="913">
    <w:name w:val="章标题"/>
    <w:next w:val="809"/>
    <w:link w:val="80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4">
    <w:name w:val="font7"/>
    <w:basedOn w:val="809"/>
    <w:next w:val="914"/>
    <w:link w:val="809"/>
    <w:qFormat/>
    <w:pPr>
      <w:jc w:val="left"/>
      <w:spacing w:before="100" w:beforeAutospacing="1" w:after="100" w:afterAutospacing="1"/>
      <w:widowControl/>
    </w:pPr>
    <w:rPr>
      <w:rFonts w:eastAsia="Arial Unicode MS"/>
      <w:b/>
      <w:bCs/>
      <w:color w:val="000000"/>
      <w:sz w:val="20"/>
      <w:szCs w:val="20"/>
    </w:rPr>
  </w:style>
  <w:style w:type="paragraph" w:styleId="915">
    <w:name w:val="字元 字元"/>
    <w:basedOn w:val="809"/>
    <w:next w:val="915"/>
    <w:link w:val="809"/>
    <w:qFormat/>
    <w:rPr>
      <w:rFonts w:ascii="Tahoma" w:hAnsi="Tahoma"/>
      <w:sz w:val="24"/>
      <w:szCs w:val="20"/>
    </w:rPr>
  </w:style>
  <w:style w:type="paragraph" w:styleId="916">
    <w:name w:val="Char3 Char Char Char"/>
    <w:basedOn w:val="809"/>
    <w:next w:val="916"/>
    <w:link w:val="809"/>
    <w:qFormat/>
    <w:rPr>
      <w:rFonts w:ascii="Tahoma" w:hAnsi="Tahoma"/>
      <w:sz w:val="24"/>
      <w:szCs w:val="20"/>
    </w:rPr>
  </w:style>
  <w:style w:type="paragraph" w:styleId="917">
    <w:name w:val="font6"/>
    <w:basedOn w:val="809"/>
    <w:next w:val="917"/>
    <w:link w:val="809"/>
    <w:qFormat/>
    <w:pPr>
      <w:jc w:val="left"/>
      <w:spacing w:before="100" w:beforeAutospacing="1" w:after="100" w:afterAutospacing="1"/>
      <w:widowControl/>
    </w:pPr>
    <w:rPr>
      <w:rFonts w:ascii="宋体" w:hAnsi="宋体" w:cs="宋体"/>
      <w:sz w:val="20"/>
      <w:szCs w:val="20"/>
    </w:rPr>
  </w:style>
  <w:style w:type="paragraph" w:styleId="918">
    <w:name w:val="项目编号2"/>
    <w:basedOn w:val="919"/>
    <w:next w:val="918"/>
    <w:link w:val="809"/>
    <w:qFormat/>
    <w:pPr>
      <w:numPr>
        <w:numId w:val="3"/>
      </w:numPr>
    </w:pPr>
  </w:style>
  <w:style w:type="paragraph" w:styleId="919">
    <w:name w:val="项目编号1"/>
    <w:basedOn w:val="809"/>
    <w:next w:val="919"/>
    <w:link w:val="809"/>
    <w:qFormat/>
    <w:pPr>
      <w:numPr>
        <w:ilvl w:val="0"/>
        <w:numId w:val="2"/>
      </w:numPr>
      <w:spacing w:before="100" w:beforeAutospacing="1" w:after="100" w:afterAutospacing="1" w:line="360" w:lineRule="auto"/>
    </w:pPr>
    <w:rPr>
      <w:sz w:val="24"/>
    </w:rPr>
  </w:style>
  <w:style w:type="paragraph" w:styleId="920">
    <w:name w:val="图中文字"/>
    <w:basedOn w:val="809"/>
    <w:next w:val="920"/>
    <w:link w:val="809"/>
    <w:qFormat/>
    <w:pPr>
      <w:jc w:val="center"/>
      <w:spacing w:line="0" w:lineRule="atLeast"/>
    </w:pPr>
    <w:rPr>
      <w:sz w:val="24"/>
      <w:szCs w:val="20"/>
    </w:rPr>
  </w:style>
  <w:style w:type="paragraph" w:styleId="921">
    <w:name w:val="xl46"/>
    <w:basedOn w:val="809"/>
    <w:next w:val="921"/>
    <w:link w:val="8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2">
    <w:name w:val="xl25"/>
    <w:basedOn w:val="809"/>
    <w:next w:val="922"/>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3">
    <w:name w:val="Char2"/>
    <w:basedOn w:val="809"/>
    <w:next w:val="923"/>
    <w:link w:val="809"/>
    <w:qFormat/>
    <w:rPr>
      <w:rFonts w:ascii="Tahoma" w:hAnsi="Tahoma"/>
      <w:sz w:val="24"/>
      <w:szCs w:val="20"/>
    </w:rPr>
  </w:style>
  <w:style w:type="paragraph" w:styleId="924">
    <w:name w:val="xl35"/>
    <w:basedOn w:val="809"/>
    <w:next w:val="924"/>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5">
    <w:name w:val="xl40"/>
    <w:basedOn w:val="809"/>
    <w:next w:val="925"/>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6">
    <w:name w:val="xl52"/>
    <w:basedOn w:val="809"/>
    <w:next w:val="926"/>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7">
    <w:name w:val="xl43"/>
    <w:basedOn w:val="809"/>
    <w:next w:val="927"/>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8">
    <w:name w:val="background1"/>
    <w:basedOn w:val="809"/>
    <w:next w:val="928"/>
    <w:link w:val="809"/>
    <w:qFormat/>
    <w:pPr>
      <w:jc w:val="left"/>
      <w:spacing w:before="100" w:beforeAutospacing="1" w:after="100" w:afterAutospacing="1"/>
      <w:widowControl/>
    </w:pPr>
    <w:rPr>
      <w:rFonts w:ascii="宋体" w:hAnsi="宋体" w:cs="宋体"/>
      <w:sz w:val="24"/>
    </w:rPr>
  </w:style>
  <w:style w:type="paragraph" w:styleId="929">
    <w:name w:val="Char Char Char Char Char Char Char"/>
    <w:basedOn w:val="809"/>
    <w:next w:val="929"/>
    <w:link w:val="809"/>
    <w:qFormat/>
    <w:pPr>
      <w:ind w:firstLine="200"/>
      <w:spacing w:line="360" w:lineRule="auto"/>
    </w:pPr>
    <w:rPr>
      <w:rFonts w:eastAsia="仿宋_GB2312"/>
      <w:sz w:val="24"/>
    </w:rPr>
  </w:style>
  <w:style w:type="paragraph" w:styleId="930">
    <w:name w:val="xl38"/>
    <w:basedOn w:val="809"/>
    <w:next w:val="930"/>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1">
    <w:name w:val="xl36"/>
    <w:basedOn w:val="809"/>
    <w:next w:val="931"/>
    <w:link w:val="8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2">
    <w:name w:val="正文 + 宋体"/>
    <w:basedOn w:val="809"/>
    <w:next w:val="932"/>
    <w:link w:val="809"/>
    <w:qFormat/>
    <w:pPr>
      <w:ind w:left="360" w:hanging="360"/>
      <w:jc w:val="left"/>
      <w:widowControl/>
    </w:pPr>
    <w:rPr>
      <w:rFonts w:ascii="宋体" w:hAnsi="宋体" w:cs="宋体"/>
      <w:b/>
      <w:bCs/>
      <w:color w:val="000000"/>
      <w:sz w:val="18"/>
      <w:szCs w:val="18"/>
    </w:rPr>
  </w:style>
  <w:style w:type="paragraph" w:styleId="933">
    <w:name w:val="正文列项_数字"/>
    <w:basedOn w:val="809"/>
    <w:next w:val="933"/>
    <w:link w:val="809"/>
    <w:qFormat/>
    <w:pPr>
      <w:numPr>
        <w:ilvl w:val="7"/>
        <w:numId w:val="1"/>
      </w:numPr>
      <w:ind w:left="680" w:hanging="150"/>
      <w:spacing w:line="460" w:lineRule="exact"/>
      <w:tabs>
        <w:tab w:val="clear" w:pos="860" w:leader="none"/>
      </w:tabs>
      <w:outlineLvl w:val="7"/>
    </w:pPr>
    <w:rPr>
      <w:rFonts w:ascii="宋体"/>
      <w:sz w:val="28"/>
      <w:szCs w:val="20"/>
    </w:rPr>
  </w:style>
  <w:style w:type="paragraph" w:styleId="934">
    <w:name w:val="xl39"/>
    <w:basedOn w:val="809"/>
    <w:next w:val="93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5">
    <w:name w:val="xl37"/>
    <w:basedOn w:val="809"/>
    <w:next w:val="935"/>
    <w:link w:val="8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6">
    <w:name w:val="xl32"/>
    <w:basedOn w:val="809"/>
    <w:next w:val="936"/>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7">
    <w:name w:val="font8"/>
    <w:basedOn w:val="809"/>
    <w:next w:val="937"/>
    <w:link w:val="809"/>
    <w:qFormat/>
    <w:pPr>
      <w:jc w:val="left"/>
      <w:spacing w:before="100" w:beforeAutospacing="1" w:after="100" w:afterAutospacing="1"/>
      <w:widowControl/>
    </w:pPr>
    <w:rPr>
      <w:sz w:val="36"/>
      <w:szCs w:val="36"/>
    </w:rPr>
  </w:style>
  <w:style w:type="paragraph" w:styleId="938">
    <w:name w:val="Char"/>
    <w:basedOn w:val="809"/>
    <w:next w:val="938"/>
    <w:link w:val="809"/>
    <w:qFormat/>
    <w:pPr>
      <w:tabs>
        <w:tab w:val="left" w:pos="360" w:leader="none"/>
      </w:tabs>
    </w:pPr>
    <w:rPr>
      <w:sz w:val="24"/>
    </w:rPr>
  </w:style>
  <w:style w:type="paragraph" w:styleId="939">
    <w:name w:val="Char Char Char Char Char Char Char Char Char Char Char Char Char Char Char Char"/>
    <w:basedOn w:val="809"/>
    <w:next w:val="939"/>
    <w:link w:val="809"/>
    <w:qFormat/>
    <w:pPr>
      <w:jc w:val="center"/>
      <w:spacing w:after="160" w:line="240" w:lineRule="exact"/>
      <w:widowControl/>
    </w:pPr>
    <w:rPr>
      <w:rFonts w:ascii="宋体" w:hAnsi="宋体"/>
      <w:b/>
      <w:sz w:val="30"/>
      <w:szCs w:val="30"/>
      <w:lang w:eastAsia="en-US"/>
    </w:rPr>
  </w:style>
  <w:style w:type="paragraph" w:styleId="940">
    <w:name w:val="xl45"/>
    <w:basedOn w:val="809"/>
    <w:next w:val="940"/>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1">
    <w:name w:val="Char Char1 Char Char Char Char Char Char"/>
    <w:basedOn w:val="809"/>
    <w:next w:val="941"/>
    <w:link w:val="809"/>
    <w:qFormat/>
    <w:pPr>
      <w:jc w:val="left"/>
      <w:spacing w:after="160" w:line="240" w:lineRule="exact"/>
      <w:widowControl/>
    </w:pPr>
    <w:rPr>
      <w:rFonts w:ascii="Verdana" w:hAnsi="Verdana" w:eastAsia="仿宋_GB2312"/>
      <w:sz w:val="24"/>
      <w:szCs w:val="20"/>
      <w:lang w:eastAsia="en-US"/>
    </w:rPr>
  </w:style>
  <w:style w:type="paragraph" w:styleId="942">
    <w:name w:val="Char Char1"/>
    <w:basedOn w:val="834"/>
    <w:next w:val="942"/>
    <w:link w:val="809"/>
    <w:qFormat/>
    <w:rPr>
      <w:rFonts w:ascii="Tahoma" w:hAnsi="Tahoma"/>
      <w:sz w:val="24"/>
    </w:rPr>
  </w:style>
  <w:style w:type="paragraph" w:styleId="943">
    <w:name w:val="xl26"/>
    <w:basedOn w:val="809"/>
    <w:next w:val="943"/>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4">
    <w:name w:val="xl30"/>
    <w:basedOn w:val="809"/>
    <w:next w:val="944"/>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5">
    <w:name w:val="xl41"/>
    <w:basedOn w:val="809"/>
    <w:next w:val="945"/>
    <w:link w:val="8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6">
    <w:name w:val="样式 宋体 五号 行距: 单倍行距"/>
    <w:basedOn w:val="809"/>
    <w:next w:val="946"/>
    <w:link w:val="809"/>
    <w:qFormat/>
    <w:pPr>
      <w:jc w:val="left"/>
    </w:pPr>
    <w:rPr>
      <w:rFonts w:ascii="宋体" w:hAnsi="宋体"/>
      <w:szCs w:val="20"/>
    </w:rPr>
  </w:style>
  <w:style w:type="paragraph" w:styleId="947">
    <w:name w:val="Char1 Char Char Char1"/>
    <w:basedOn w:val="809"/>
    <w:next w:val="947"/>
    <w:link w:val="809"/>
    <w:qFormat/>
    <w:rPr>
      <w:rFonts w:ascii="Tahoma" w:hAnsi="Tahoma" w:cs="仿宋_GB2312"/>
      <w:sz w:val="24"/>
      <w:szCs w:val="28"/>
    </w:rPr>
  </w:style>
  <w:style w:type="paragraph" w:styleId="948">
    <w:name w:val="四级条标题"/>
    <w:basedOn w:val="949"/>
    <w:next w:val="809"/>
    <w:link w:val="809"/>
    <w:qFormat/>
    <w:pPr>
      <w:numPr>
        <w:ilvl w:val="4"/>
      </w:numPr>
      <w:ind w:left="0" w:hanging="840"/>
      <w:tabs>
        <w:tab w:val="left" w:pos="360" w:leader="none"/>
        <w:tab w:val="left" w:pos="840" w:leader="none"/>
      </w:tabs>
      <w:outlineLvl w:val="4"/>
    </w:pPr>
  </w:style>
  <w:style w:type="paragraph" w:styleId="949">
    <w:name w:val="三级条标题"/>
    <w:basedOn w:val="911"/>
    <w:next w:val="809"/>
    <w:link w:val="809"/>
    <w:qFormat/>
    <w:pPr>
      <w:numPr>
        <w:ilvl w:val="3"/>
        <w:numId w:val="1"/>
      </w:numPr>
      <w:ind w:left="0" w:hanging="840"/>
      <w:tabs>
        <w:tab w:val="left" w:pos="360" w:leader="none"/>
        <w:tab w:val="left" w:pos="840" w:leader="none"/>
      </w:tabs>
      <w:outlineLvl w:val="3"/>
    </w:pPr>
  </w:style>
  <w:style w:type="paragraph" w:styleId="950">
    <w:name w:val="??"/>
    <w:next w:val="950"/>
    <w:link w:val="809"/>
    <w:qFormat/>
    <w:pPr>
      <w:jc w:val="both"/>
      <w:widowControl w:val="off"/>
    </w:pPr>
    <w:rPr>
      <w:sz w:val="21"/>
      <w:lang w:val="en-US" w:eastAsia="en-US" w:bidi="ar-SA"/>
    </w:rPr>
  </w:style>
  <w:style w:type="paragraph" w:styleId="951">
    <w:name w:val="样式 标题 2 + 宋体 五号 行距: 单倍行距"/>
    <w:basedOn w:val="811"/>
    <w:next w:val="951"/>
    <w:link w:val="80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2">
    <w:name w:val="List Paragraph1"/>
    <w:basedOn w:val="809"/>
    <w:next w:val="952"/>
    <w:link w:val="809"/>
    <w:qFormat/>
    <w:pPr>
      <w:ind w:firstLine="420"/>
    </w:pPr>
    <w:rPr>
      <w:rFonts w:ascii="Calibri" w:hAnsi="Calibri"/>
      <w:szCs w:val="22"/>
    </w:rPr>
  </w:style>
  <w:style w:type="paragraph" w:styleId="953">
    <w:name w:val="项目符号1"/>
    <w:basedOn w:val="954"/>
    <w:next w:val="953"/>
    <w:link w:val="809"/>
    <w:qFormat/>
    <w:pPr>
      <w:ind w:left="-25" w:firstLine="0"/>
    </w:pPr>
  </w:style>
  <w:style w:type="paragraph" w:styleId="954">
    <w:name w:val="正文文本样式"/>
    <w:basedOn w:val="809"/>
    <w:next w:val="954"/>
    <w:link w:val="809"/>
    <w:qFormat/>
    <w:pPr>
      <w:ind w:firstLine="482"/>
      <w:spacing w:line="360" w:lineRule="auto"/>
    </w:pPr>
    <w:rPr>
      <w:rFonts w:cs="宋体"/>
      <w:sz w:val="24"/>
      <w:szCs w:val="20"/>
    </w:rPr>
  </w:style>
  <w:style w:type="paragraph" w:styleId="955">
    <w:name w:val="xl27"/>
    <w:basedOn w:val="809"/>
    <w:next w:val="955"/>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6">
    <w:name w:val="font5"/>
    <w:basedOn w:val="809"/>
    <w:next w:val="956"/>
    <w:link w:val="809"/>
    <w:qFormat/>
    <w:pPr>
      <w:jc w:val="left"/>
      <w:spacing w:before="100" w:beforeAutospacing="1" w:after="100" w:afterAutospacing="1"/>
      <w:widowControl/>
    </w:pPr>
    <w:rPr>
      <w:rFonts w:ascii="宋体" w:hAnsi="宋体" w:cs="宋体"/>
      <w:sz w:val="18"/>
      <w:szCs w:val="18"/>
    </w:rPr>
  </w:style>
  <w:style w:type="paragraph" w:styleId="957">
    <w:name w:val="五级条标题"/>
    <w:basedOn w:val="948"/>
    <w:next w:val="809"/>
    <w:link w:val="809"/>
    <w:qFormat/>
    <w:pPr>
      <w:numPr>
        <w:ilvl w:val="5"/>
      </w:numPr>
      <w:ind w:left="0" w:hanging="840"/>
      <w:tabs>
        <w:tab w:val="left" w:pos="360" w:leader="none"/>
        <w:tab w:val="left" w:pos="840" w:leader="none"/>
      </w:tabs>
      <w:outlineLvl w:val="5"/>
    </w:pPr>
  </w:style>
  <w:style w:type="paragraph" w:styleId="958">
    <w:name w:val="xl49"/>
    <w:basedOn w:val="809"/>
    <w:next w:val="958"/>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59">
    <w:name w:val="文档正文"/>
    <w:basedOn w:val="809"/>
    <w:next w:val="959"/>
    <w:link w:val="809"/>
    <w:qFormat/>
    <w:pPr>
      <w:spacing w:before="120" w:after="120" w:line="180" w:lineRule="auto"/>
    </w:pPr>
    <w:rPr>
      <w:rFonts w:ascii="Arial" w:hAnsi="Arial"/>
      <w:szCs w:val="20"/>
    </w:rPr>
  </w:style>
  <w:style w:type="paragraph" w:styleId="960">
    <w:name w:val="xl33"/>
    <w:basedOn w:val="809"/>
    <w:next w:val="960"/>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1">
    <w:name w:val="xl42"/>
    <w:basedOn w:val="809"/>
    <w:next w:val="961"/>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2">
    <w:name w:val="Char Char Char1 Char"/>
    <w:basedOn w:val="809"/>
    <w:next w:val="962"/>
    <w:link w:val="809"/>
    <w:qFormat/>
    <w:rPr>
      <w:rFonts w:ascii="Tahoma" w:hAnsi="Tahoma"/>
      <w:sz w:val="24"/>
      <w:szCs w:val="20"/>
    </w:rPr>
  </w:style>
  <w:style w:type="paragraph" w:styleId="963">
    <w:name w:val="xl44"/>
    <w:basedOn w:val="809"/>
    <w:next w:val="963"/>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4">
    <w:name w:val="1名"/>
    <w:basedOn w:val="809"/>
    <w:next w:val="964"/>
    <w:link w:val="809"/>
    <w:qFormat/>
    <w:pPr>
      <w:numPr>
        <w:ilvl w:val="0"/>
        <w:numId w:val="5"/>
      </w:numPr>
      <w:spacing w:before="120"/>
      <w:tabs>
        <w:tab w:val="left" w:pos="360" w:leader="none"/>
      </w:tabs>
    </w:pPr>
    <w:rPr>
      <w:rFonts w:ascii="宋体"/>
      <w:sz w:val="28"/>
      <w:szCs w:val="20"/>
    </w:rPr>
  </w:style>
  <w:style w:type="paragraph" w:styleId="965">
    <w:name w:val="font9"/>
    <w:basedOn w:val="809"/>
    <w:next w:val="965"/>
    <w:link w:val="809"/>
    <w:qFormat/>
    <w:pPr>
      <w:jc w:val="left"/>
      <w:spacing w:before="100" w:beforeAutospacing="1" w:after="100" w:afterAutospacing="1"/>
      <w:widowControl/>
    </w:pPr>
    <w:rPr>
      <w:rFonts w:hint="eastAsia" w:ascii="宋体" w:hAnsi="宋体" w:cs="Arial Unicode MS"/>
      <w:color w:val="000000"/>
      <w:sz w:val="20"/>
      <w:szCs w:val="20"/>
    </w:rPr>
  </w:style>
  <w:style w:type="paragraph" w:styleId="966">
    <w:name w:val="Char Char Char1 Char1"/>
    <w:basedOn w:val="809"/>
    <w:next w:val="966"/>
    <w:link w:val="809"/>
    <w:qFormat/>
    <w:rPr>
      <w:rFonts w:ascii="Tahoma" w:hAnsi="Tahoma"/>
      <w:sz w:val="24"/>
      <w:szCs w:val="20"/>
    </w:rPr>
  </w:style>
  <w:style w:type="paragraph" w:styleId="967">
    <w:name w:val="Char Char Char Char Char Char Char Char Char Char"/>
    <w:basedOn w:val="809"/>
    <w:next w:val="967"/>
    <w:link w:val="809"/>
    <w:qFormat/>
  </w:style>
  <w:style w:type="paragraph" w:styleId="968">
    <w:name w:val="Char Char1 Char Char Char Char Char Char Char Char"/>
    <w:basedOn w:val="809"/>
    <w:next w:val="968"/>
    <w:link w:val="809"/>
    <w:qFormat/>
    <w:pPr>
      <w:jc w:val="left"/>
      <w:spacing w:after="160" w:line="240" w:lineRule="exact"/>
      <w:widowControl/>
    </w:pPr>
    <w:rPr>
      <w:rFonts w:ascii="Verdana" w:hAnsi="Verdana"/>
      <w:sz w:val="20"/>
      <w:szCs w:val="20"/>
      <w:lang w:eastAsia="en-US"/>
    </w:rPr>
  </w:style>
  <w:style w:type="paragraph" w:styleId="969">
    <w:name w:val="Char1"/>
    <w:basedOn w:val="809"/>
    <w:next w:val="969"/>
    <w:link w:val="809"/>
    <w:qFormat/>
    <w:pPr>
      <w:tabs>
        <w:tab w:val="left" w:pos="360" w:leader="none"/>
      </w:tabs>
    </w:pPr>
    <w:rPr>
      <w:sz w:val="24"/>
    </w:rPr>
  </w:style>
  <w:style w:type="paragraph" w:styleId="970">
    <w:name w:val="正文列项_字母"/>
    <w:basedOn w:val="809"/>
    <w:next w:val="970"/>
    <w:link w:val="809"/>
    <w:qFormat/>
    <w:pPr>
      <w:numPr>
        <w:ilvl w:val="6"/>
        <w:numId w:val="1"/>
      </w:numPr>
      <w:ind w:left="480" w:hanging="180"/>
      <w:spacing w:line="460" w:lineRule="exact"/>
      <w:tabs>
        <w:tab w:val="clear" w:pos="635" w:leader="none"/>
      </w:tabs>
      <w:outlineLvl w:val="6"/>
    </w:pPr>
    <w:rPr>
      <w:rFonts w:ascii="宋体"/>
      <w:sz w:val="28"/>
      <w:szCs w:val="20"/>
    </w:rPr>
  </w:style>
  <w:style w:type="paragraph" w:styleId="971">
    <w:name w:val="xl28"/>
    <w:basedOn w:val="809"/>
    <w:next w:val="971"/>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47"/>
    <w:basedOn w:val="809"/>
    <w:next w:val="972"/>
    <w:link w:val="8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默认段落字体 Para Char Char Char Char"/>
    <w:basedOn w:val="809"/>
    <w:next w:val="973"/>
    <w:link w:val="809"/>
    <w:qFormat/>
    <w:rPr>
      <w:rFonts w:ascii="Arial" w:hAnsi="Arial" w:cs="Arial"/>
      <w:szCs w:val="21"/>
    </w:rPr>
  </w:style>
  <w:style w:type="paragraph" w:styleId="974">
    <w:name w:val="xl48"/>
    <w:basedOn w:val="809"/>
    <w:next w:val="974"/>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5">
    <w:name w:val="xl31"/>
    <w:basedOn w:val="809"/>
    <w:next w:val="975"/>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6">
    <w:name w:val="xl53"/>
    <w:basedOn w:val="809"/>
    <w:next w:val="976"/>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7">
    <w:name w:val="Char Char Char"/>
    <w:basedOn w:val="809"/>
    <w:next w:val="977"/>
    <w:link w:val="809"/>
    <w:qFormat/>
    <w:rPr>
      <w:rFonts w:ascii="Tahoma" w:hAnsi="Tahoma"/>
      <w:sz w:val="24"/>
      <w:szCs w:val="20"/>
    </w:rPr>
  </w:style>
  <w:style w:type="paragraph" w:styleId="978">
    <w:name w:val="xl50"/>
    <w:basedOn w:val="809"/>
    <w:next w:val="978"/>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9">
    <w:name w:val="缺省文本"/>
    <w:basedOn w:val="809"/>
    <w:next w:val="979"/>
    <w:link w:val="809"/>
    <w:qFormat/>
    <w:pPr>
      <w:jc w:val="left"/>
    </w:pPr>
    <w:rPr>
      <w:sz w:val="24"/>
    </w:rPr>
  </w:style>
  <w:style w:type="paragraph" w:styleId="980">
    <w:name w:val="Char Char Char1"/>
    <w:basedOn w:val="809"/>
    <w:next w:val="980"/>
    <w:link w:val="809"/>
    <w:qFormat/>
    <w:rPr>
      <w:rFonts w:ascii="Tahoma" w:hAnsi="Tahoma"/>
      <w:sz w:val="24"/>
      <w:szCs w:val="20"/>
    </w:rPr>
  </w:style>
  <w:style w:type="paragraph" w:styleId="981">
    <w:name w:val="Char Char Char Char Char Char Char1"/>
    <w:basedOn w:val="809"/>
    <w:next w:val="981"/>
    <w:link w:val="809"/>
    <w:qFormat/>
    <w:pPr>
      <w:ind w:firstLine="200"/>
      <w:spacing w:line="360" w:lineRule="auto"/>
    </w:pPr>
    <w:rPr>
      <w:rFonts w:eastAsia="仿宋_GB2312"/>
      <w:sz w:val="24"/>
    </w:rPr>
  </w:style>
  <w:style w:type="paragraph" w:styleId="982">
    <w:name w:val="xl51"/>
    <w:basedOn w:val="809"/>
    <w:next w:val="982"/>
    <w:link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样式2"/>
    <w:basedOn w:val="872"/>
    <w:next w:val="983"/>
    <w:link w:val="809"/>
    <w:qFormat/>
    <w:pPr>
      <w:jc w:val="center"/>
      <w:spacing w:line="360" w:lineRule="auto"/>
    </w:pPr>
    <w:rPr>
      <w:sz w:val="24"/>
    </w:rPr>
  </w:style>
  <w:style w:type="paragraph" w:styleId="984">
    <w:name w:val="xl24"/>
    <w:basedOn w:val="809"/>
    <w:next w:val="984"/>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5">
    <w:name w:val="xl29"/>
    <w:basedOn w:val="809"/>
    <w:next w:val="985"/>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6">
    <w:name w:val="正文 + 楷体_GB2312"/>
    <w:basedOn w:val="809"/>
    <w:next w:val="986"/>
    <w:link w:val="809"/>
    <w:qFormat/>
    <w:pPr>
      <w:jc w:val="left"/>
      <w:widowControl/>
    </w:pPr>
    <w:rPr>
      <w:rFonts w:ascii="楷体_GB2312" w:eastAsia="楷体_GB2312" w:cs="Arial"/>
      <w:sz w:val="24"/>
    </w:rPr>
  </w:style>
  <w:style w:type="paragraph" w:styleId="987">
    <w:name w:val="xl34"/>
    <w:basedOn w:val="809"/>
    <w:next w:val="987"/>
    <w:link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8">
    <w:name w:val="1 Char Char Char Char"/>
    <w:basedOn w:val="809"/>
    <w:next w:val="988"/>
    <w:link w:val="809"/>
    <w:qFormat/>
    <w:rPr>
      <w:rFonts w:ascii="Tahoma" w:hAnsi="Tahoma"/>
      <w:sz w:val="24"/>
      <w:szCs w:val="20"/>
    </w:rPr>
  </w:style>
  <w:style w:type="paragraph" w:styleId="989">
    <w:name w:val="Default"/>
    <w:next w:val="989"/>
    <w:link w:val="809"/>
    <w:qFormat/>
    <w:pPr>
      <w:widowControl w:val="off"/>
    </w:pPr>
    <w:rPr>
      <w:rFonts w:ascii="Symbol" w:hAnsi="Symbol" w:cs="Symbol"/>
      <w:color w:val="000000"/>
      <w:sz w:val="24"/>
      <w:szCs w:val="24"/>
      <w:lang w:val="en-US" w:eastAsia="zh-CN" w:bidi="ar-SA"/>
    </w:rPr>
  </w:style>
  <w:style w:type="paragraph" w:styleId="990">
    <w:name w:val="列出段落1"/>
    <w:basedOn w:val="809"/>
    <w:next w:val="990"/>
    <w:link w:val="809"/>
    <w:qFormat/>
    <w:pPr>
      <w:ind w:firstLine="420"/>
    </w:pPr>
    <w:rPr>
      <w:rFonts w:ascii="Calibri" w:hAnsi="Calibri"/>
      <w:szCs w:val="22"/>
    </w:rPr>
  </w:style>
  <w:style w:type="paragraph" w:styleId="991">
    <w:name w:val="default"/>
    <w:basedOn w:val="809"/>
    <w:next w:val="991"/>
    <w:link w:val="809"/>
    <w:qFormat/>
    <w:pPr>
      <w:jc w:val="left"/>
      <w:spacing w:before="100" w:beforeAutospacing="1" w:after="100" w:afterAutospacing="1"/>
      <w:widowControl/>
    </w:pPr>
    <w:rPr>
      <w:rFonts w:ascii="宋体" w:hAnsi="宋体" w:cs="宋体"/>
      <w:sz w:val="24"/>
    </w:rPr>
  </w:style>
  <w:style w:type="paragraph" w:styleId="992">
    <w:name w:val="字元 字元1"/>
    <w:basedOn w:val="809"/>
    <w:next w:val="992"/>
    <w:link w:val="809"/>
    <w:qFormat/>
    <w:rPr>
      <w:rFonts w:ascii="Tahoma" w:hAnsi="Tahoma"/>
      <w:sz w:val="24"/>
      <w:szCs w:val="20"/>
    </w:rPr>
  </w:style>
  <w:style w:type="paragraph" w:styleId="993">
    <w:name w:val="_Style 160"/>
    <w:next w:val="993"/>
    <w:link w:val="809"/>
    <w:qFormat/>
    <w:rPr>
      <w:sz w:val="21"/>
      <w:szCs w:val="24"/>
      <w:lang w:val="en-US" w:eastAsia="zh-CN" w:bidi="ar-SA"/>
    </w:rPr>
  </w:style>
  <w:style w:type="paragraph" w:styleId="994">
    <w:name w:val="项目编号3"/>
    <w:basedOn w:val="954"/>
    <w:next w:val="994"/>
    <w:link w:val="809"/>
    <w:qFormat/>
    <w:pPr>
      <w:numPr>
        <w:ilvl w:val="0"/>
        <w:numId w:val="6"/>
      </w:numPr>
    </w:pPr>
  </w:style>
  <w:style w:type="paragraph" w:styleId="995">
    <w:name w:val="Char21"/>
    <w:basedOn w:val="809"/>
    <w:next w:val="995"/>
    <w:link w:val="809"/>
    <w:qFormat/>
    <w:rPr>
      <w:rFonts w:ascii="Tahoma" w:hAnsi="Tahoma"/>
      <w:sz w:val="24"/>
      <w:szCs w:val="20"/>
    </w:rPr>
  </w:style>
  <w:style w:type="paragraph" w:styleId="996">
    <w:name w:val="表格文字"/>
    <w:basedOn w:val="842"/>
    <w:next w:val="996"/>
    <w:link w:val="809"/>
    <w:qFormat/>
    <w:pPr>
      <w:ind w:firstLine="0"/>
      <w:spacing w:before="20" w:after="20" w:line="240" w:lineRule="auto"/>
    </w:pPr>
    <w:rPr>
      <w:rFonts w:ascii="Century Gothic" w:hAnsi="Century Gothic"/>
      <w:sz w:val="20"/>
      <w:szCs w:val="20"/>
    </w:rPr>
  </w:style>
  <w:style w:type="paragraph" w:styleId="997">
    <w:name w:val="Char Char Char Char Char Char Char Char Char Char1"/>
    <w:basedOn w:val="809"/>
    <w:next w:val="997"/>
    <w:link w:val="809"/>
    <w:qFormat/>
    <w:rPr>
      <w:rFonts w:ascii="宋体" w:hAnsi="宋体" w:cs="Courier New"/>
      <w:sz w:val="32"/>
      <w:szCs w:val="32"/>
    </w:rPr>
  </w:style>
  <w:style w:type="paragraph" w:styleId="998">
    <w:name w:val="正文文本样式 加粗"/>
    <w:basedOn w:val="954"/>
    <w:next w:val="998"/>
    <w:link w:val="809"/>
    <w:qFormat/>
    <w:rPr>
      <w:b/>
    </w:rPr>
  </w:style>
  <w:style w:type="paragraph" w:styleId="999">
    <w:name w:val="Char2 Char Char Char Char Char Char"/>
    <w:basedOn w:val="809"/>
    <w:next w:val="999"/>
    <w:link w:val="809"/>
    <w:qFormat/>
    <w:pPr>
      <w:jc w:val="center"/>
      <w:spacing w:line="400" w:lineRule="exact"/>
      <w:widowControl/>
    </w:pPr>
  </w:style>
  <w:style w:type="paragraph" w:styleId="1000">
    <w:name w:val="Char Char4"/>
    <w:basedOn w:val="809"/>
    <w:next w:val="1000"/>
    <w:link w:val="809"/>
    <w:qFormat/>
    <w:pPr>
      <w:jc w:val="center"/>
      <w:spacing w:line="400" w:lineRule="exact"/>
      <w:widowControl/>
    </w:pPr>
  </w:style>
  <w:style w:type="paragraph" w:styleId="1001">
    <w:name w:val="Char3 Char Char Char1"/>
    <w:basedOn w:val="809"/>
    <w:next w:val="1001"/>
    <w:link w:val="809"/>
    <w:qFormat/>
    <w:rPr>
      <w:rFonts w:ascii="Tahoma" w:hAnsi="Tahoma"/>
      <w:sz w:val="24"/>
      <w:szCs w:val="20"/>
    </w:rPr>
  </w:style>
  <w:style w:type="paragraph" w:styleId="1002">
    <w:name w:val="无间隔"/>
    <w:next w:val="1002"/>
    <w:link w:val="809"/>
    <w:qFormat/>
    <w:pPr>
      <w:jc w:val="both"/>
      <w:widowControl w:val="off"/>
    </w:pPr>
    <w:rPr>
      <w:sz w:val="21"/>
      <w:szCs w:val="24"/>
      <w:lang w:val="en-US" w:eastAsia="zh-CN" w:bidi="ar-SA"/>
    </w:rPr>
  </w:style>
  <w:style w:type="paragraph" w:styleId="1003">
    <w:name w:val="22222222222222"/>
    <w:basedOn w:val="809"/>
    <w:next w:val="1003"/>
    <w:link w:val="809"/>
    <w:qFormat/>
    <w:pPr>
      <w:ind w:firstLine="480"/>
      <w:jc w:val="left"/>
      <w:spacing w:line="360" w:lineRule="auto"/>
      <w:widowControl/>
    </w:pPr>
    <w:rPr>
      <w:color w:val="ff0000"/>
      <w:sz w:val="24"/>
      <w:szCs w:val="20"/>
    </w:rPr>
  </w:style>
  <w:style w:type="character" w:styleId="1004">
    <w:name w:val="中等深浅网格 1 - 强调文字颜色 2 Char"/>
    <w:next w:val="1004"/>
    <w:link w:val="1005"/>
    <w:qFormat/>
    <w:rPr>
      <w:sz w:val="21"/>
      <w:szCs w:val="24"/>
      <w:lang w:val="zh-CN" w:eastAsia="zh-CN" w:bidi="ar-SA"/>
    </w:rPr>
  </w:style>
  <w:style w:type="paragraph" w:styleId="1005">
    <w:name w:val="1"/>
    <w:next w:val="1005"/>
    <w:link w:val="1004"/>
    <w:qFormat/>
    <w:rPr>
      <w:sz w:val="21"/>
      <w:szCs w:val="24"/>
      <w:lang w:val="zh-CN" w:eastAsia="zh-CN" w:bidi="ar-SA"/>
    </w:rPr>
  </w:style>
  <w:style w:type="paragraph" w:styleId="1006">
    <w:name w:val="图文"/>
    <w:basedOn w:val="809"/>
    <w:next w:val="1006"/>
    <w:link w:val="809"/>
    <w:qFormat/>
    <w:pPr>
      <w:spacing w:after="50" w:line="360" w:lineRule="auto"/>
    </w:pPr>
    <w:rPr>
      <w:sz w:val="24"/>
    </w:rPr>
  </w:style>
  <w:style w:type="paragraph" w:styleId="1007">
    <w:name w:val="xl23"/>
    <w:basedOn w:val="809"/>
    <w:next w:val="1007"/>
    <w:link w:val="809"/>
    <w:qFormat/>
    <w:pPr>
      <w:spacing w:before="100" w:beforeAutospacing="1" w:after="100" w:afterAutospacing="1" w:line="360" w:lineRule="auto"/>
      <w:widowControl/>
    </w:pPr>
    <w:rPr>
      <w:sz w:val="24"/>
      <w:szCs w:val="20"/>
    </w:rPr>
  </w:style>
  <w:style w:type="paragraph" w:styleId="1008">
    <w:name w:val="正文表格"/>
    <w:basedOn w:val="809"/>
    <w:next w:val="1008"/>
    <w:link w:val="1009"/>
    <w:qFormat/>
    <w:pPr>
      <w:jc w:val="left"/>
    </w:pPr>
    <w:rPr>
      <w:rFonts w:ascii="宋体" w:hAnsi="宋体"/>
      <w:color w:val="000000"/>
      <w:szCs w:val="21"/>
    </w:rPr>
  </w:style>
  <w:style w:type="character" w:styleId="1009">
    <w:name w:val="正文表格 Char"/>
    <w:next w:val="1009"/>
    <w:link w:val="1008"/>
    <w:qFormat/>
    <w:rPr>
      <w:rFonts w:ascii="宋体" w:hAnsi="宋体"/>
      <w:color w:val="000000"/>
      <w:sz w:val="21"/>
      <w:szCs w:val="21"/>
    </w:rPr>
  </w:style>
  <w:style w:type="paragraph" w:styleId="1010">
    <w:name w:val="正文重点"/>
    <w:basedOn w:val="809"/>
    <w:next w:val="1010"/>
    <w:link w:val="1011"/>
    <w:qFormat/>
    <w:pPr>
      <w:ind w:firstLine="482"/>
      <w:jc w:val="left"/>
      <w:spacing w:line="360" w:lineRule="auto"/>
    </w:pPr>
    <w:rPr>
      <w:b/>
      <w:sz w:val="24"/>
      <w:szCs w:val="20"/>
    </w:rPr>
  </w:style>
  <w:style w:type="character" w:styleId="1011">
    <w:name w:val="正文重点 Char"/>
    <w:next w:val="1011"/>
    <w:link w:val="1010"/>
    <w:qFormat/>
    <w:rPr>
      <w:b/>
      <w:sz w:val="24"/>
    </w:rPr>
  </w:style>
  <w:style w:type="paragraph" w:styleId="1012">
    <w:name w:val="标题1-附件"/>
    <w:basedOn w:val="810"/>
    <w:next w:val="1012"/>
    <w:link w:val="809"/>
    <w:qFormat/>
    <w:pPr>
      <w:jc w:val="left"/>
    </w:pPr>
    <w:rPr>
      <w:sz w:val="24"/>
      <w:szCs w:val="24"/>
    </w:rPr>
  </w:style>
  <w:style w:type="paragraph" w:styleId="1013">
    <w:name w:val="正文小标题"/>
    <w:basedOn w:val="809"/>
    <w:next w:val="823"/>
    <w:link w:val="1014"/>
    <w:qFormat/>
    <w:pPr>
      <w:ind w:firstLine="482"/>
      <w:jc w:val="left"/>
      <w:spacing w:before="312" w:after="312"/>
    </w:pPr>
    <w:rPr>
      <w:rFonts w:ascii="宋体" w:hAnsi="宋体"/>
      <w:b/>
      <w:i/>
      <w:color w:val="ff0000"/>
      <w:sz w:val="24"/>
      <w:szCs w:val="20"/>
    </w:rPr>
  </w:style>
  <w:style w:type="character" w:styleId="1014">
    <w:name w:val="正文小标题 Char"/>
    <w:next w:val="1014"/>
    <w:link w:val="1013"/>
    <w:qFormat/>
    <w:rPr>
      <w:rFonts w:ascii="宋体" w:hAnsi="宋体"/>
      <w:b/>
      <w:i/>
      <w:color w:val="ff0000"/>
      <w:sz w:val="24"/>
    </w:rPr>
  </w:style>
  <w:style w:type="paragraph" w:styleId="1015">
    <w:name w:val="正文大标题"/>
    <w:basedOn w:val="1013"/>
    <w:next w:val="823"/>
    <w:link w:val="1016"/>
    <w:qFormat/>
    <w:pPr>
      <w:jc w:val="center"/>
    </w:pPr>
    <w:rPr>
      <w:i w:val="0"/>
      <w:color w:val="000000"/>
      <w:sz w:val="28"/>
      <w:szCs w:val="21"/>
    </w:rPr>
  </w:style>
  <w:style w:type="character" w:styleId="1016">
    <w:name w:val="正文大标题 Char"/>
    <w:next w:val="1016"/>
    <w:link w:val="1015"/>
    <w:qFormat/>
    <w:rPr>
      <w:rFonts w:ascii="宋体" w:hAnsi="宋体"/>
      <w:b/>
      <w:color w:val="000000"/>
      <w:sz w:val="28"/>
      <w:szCs w:val="21"/>
    </w:rPr>
  </w:style>
  <w:style w:type="paragraph" w:styleId="1017">
    <w:name w:val="注释"/>
    <w:basedOn w:val="809"/>
    <w:next w:val="1017"/>
    <w:link w:val="1018"/>
    <w:qFormat/>
    <w:pPr>
      <w:ind w:left="420" w:hanging="420"/>
      <w:jc w:val="left"/>
    </w:pPr>
    <w:rPr>
      <w:rFonts w:ascii="宋体" w:hAnsi="宋体"/>
      <w:szCs w:val="21"/>
    </w:rPr>
  </w:style>
  <w:style w:type="character" w:styleId="1018">
    <w:name w:val="注释 Char"/>
    <w:next w:val="1018"/>
    <w:link w:val="1017"/>
    <w:qFormat/>
    <w:rPr>
      <w:rFonts w:ascii="宋体" w:hAnsi="宋体"/>
      <w:sz w:val="21"/>
      <w:szCs w:val="21"/>
    </w:rPr>
  </w:style>
  <w:style w:type="paragraph" w:styleId="1019">
    <w:name w:val="正文须知-1级"/>
    <w:basedOn w:val="809"/>
    <w:next w:val="809"/>
    <w:link w:val="809"/>
    <w:qFormat/>
    <w:pPr>
      <w:numPr>
        <w:ilvl w:val="0"/>
        <w:numId w:val="7"/>
      </w:numPr>
      <w:spacing w:line="300" w:lineRule="auto"/>
    </w:pPr>
    <w:rPr>
      <w:rFonts w:ascii="宋体" w:hAnsi="Calibri"/>
      <w:sz w:val="24"/>
      <w:szCs w:val="21"/>
    </w:rPr>
  </w:style>
  <w:style w:type="paragraph" w:styleId="1020">
    <w:name w:val="正文须知-2级"/>
    <w:basedOn w:val="809"/>
    <w:next w:val="1020"/>
    <w:link w:val="809"/>
    <w:qFormat/>
    <w:pPr>
      <w:numPr>
        <w:ilvl w:val="1"/>
        <w:numId w:val="7"/>
      </w:numPr>
      <w:spacing w:line="300" w:lineRule="auto"/>
    </w:pPr>
    <w:rPr>
      <w:rFonts w:ascii="宋体" w:hAnsi="Calibri"/>
      <w:sz w:val="24"/>
      <w:szCs w:val="21"/>
    </w:rPr>
  </w:style>
  <w:style w:type="paragraph" w:styleId="1021">
    <w:name w:val="正文须知-3级"/>
    <w:basedOn w:val="809"/>
    <w:next w:val="1021"/>
    <w:link w:val="809"/>
    <w:qFormat/>
    <w:pPr>
      <w:numPr>
        <w:ilvl w:val="2"/>
        <w:numId w:val="7"/>
      </w:numPr>
      <w:ind w:hanging="355"/>
      <w:spacing w:line="300" w:lineRule="auto"/>
    </w:pPr>
    <w:rPr>
      <w:rFonts w:ascii="宋体" w:hAnsi="Calibri"/>
      <w:sz w:val="24"/>
      <w:szCs w:val="21"/>
    </w:rPr>
  </w:style>
  <w:style w:type="character" w:styleId="1022">
    <w:name w:val="纯文本 字符"/>
    <w:next w:val="1022"/>
    <w:link w:val="809"/>
    <w:uiPriority w:val="99"/>
    <w:qFormat/>
    <w:rPr>
      <w:rFonts w:ascii="宋体" w:hAnsi="Courier New" w:eastAsia="宋体" w:cs="Times New Roman"/>
      <w:sz w:val="21"/>
      <w:szCs w:val="21"/>
      <w:lang w:val="en-US" w:eastAsia="zh-CN" w:bidi="ar-SA"/>
    </w:rPr>
  </w:style>
  <w:style w:type="paragraph" w:styleId="1023">
    <w:name w:val="表格1"/>
    <w:basedOn w:val="809"/>
    <w:next w:val="1023"/>
    <w:link w:val="809"/>
    <w:qFormat/>
    <w:pPr>
      <w:ind w:firstLine="480"/>
      <w:jc w:val="center"/>
    </w:pPr>
    <w:rPr>
      <w:sz w:val="24"/>
      <w:szCs w:val="20"/>
    </w:rPr>
  </w:style>
  <w:style w:type="character" w:styleId="1024">
    <w:name w:val="纯文本 字符1"/>
    <w:next w:val="1024"/>
    <w:link w:val="809"/>
    <w:qFormat/>
    <w:rPr>
      <w:rFonts w:ascii="宋体" w:hAnsi="Courier New"/>
    </w:rPr>
  </w:style>
  <w:style w:type="character" w:styleId="1025">
    <w:name w:val="bjh-p"/>
    <w:next w:val="1025"/>
    <w:link w:val="809"/>
    <w:qFormat/>
  </w:style>
  <w:style w:type="paragraph" w:styleId="1026">
    <w:name w:val="无标题条"/>
    <w:next w:val="809"/>
    <w:link w:val="809"/>
    <w:qFormat/>
    <w:pPr>
      <w:jc w:val="both"/>
    </w:pPr>
    <w:rPr>
      <w:sz w:val="21"/>
      <w:lang w:val="en-US" w:eastAsia="zh-CN" w:bidi="ar-SA"/>
    </w:rPr>
  </w:style>
  <w:style w:type="character" w:styleId="1027">
    <w:name w:val="正文格式 Char"/>
    <w:next w:val="1027"/>
    <w:link w:val="1028"/>
    <w:qFormat/>
    <w:rPr>
      <w:rFonts w:ascii="宋体" w:hAnsi="宋体"/>
      <w:sz w:val="24"/>
      <w:szCs w:val="24"/>
      <w:lang w:val="en-GB"/>
    </w:rPr>
  </w:style>
  <w:style w:type="paragraph" w:styleId="1028">
    <w:name w:val="正文格式"/>
    <w:basedOn w:val="809"/>
    <w:next w:val="1028"/>
    <w:link w:val="1027"/>
    <w:qFormat/>
    <w:pPr>
      <w:ind w:firstLine="480"/>
      <w:spacing w:line="360" w:lineRule="auto"/>
    </w:pPr>
    <w:rPr>
      <w:rFonts w:ascii="宋体" w:hAnsi="宋体"/>
      <w:sz w:val="24"/>
      <w:lang w:val="en-GB"/>
    </w:rPr>
  </w:style>
  <w:style w:type="character" w:styleId="1029">
    <w:name w:val="标题 3 Char"/>
    <w:next w:val="1029"/>
    <w:link w:val="809"/>
    <w:qFormat/>
    <w:rPr>
      <w:rFonts w:ascii="宋体" w:eastAsia="宋体"/>
      <w:b/>
      <w:sz w:val="24"/>
      <w:u w:val="single"/>
      <w:lang w:val="en-US" w:eastAsia="zh-CN" w:bidi="ar-SA"/>
    </w:rPr>
  </w:style>
  <w:style w:type="character" w:styleId="1030">
    <w:name w:val="正文缩进 Char"/>
    <w:next w:val="1030"/>
    <w:link w:val="809"/>
    <w:qFormat/>
    <w:rPr>
      <w:rFonts w:ascii="宋体" w:eastAsia="宋体"/>
      <w:sz w:val="24"/>
      <w:szCs w:val="24"/>
      <w:lang w:val="en-US" w:eastAsia="zh-CN" w:bidi="ar-SA"/>
    </w:rPr>
  </w:style>
  <w:style w:type="character" w:styleId="1031">
    <w:name w:val="Char Char111"/>
    <w:next w:val="1031"/>
    <w:link w:val="809"/>
    <w:qFormat/>
    <w:rPr>
      <w:rFonts w:ascii="宋体" w:eastAsia="宋体"/>
      <w:b/>
      <w:sz w:val="24"/>
      <w:u w:val="single"/>
      <w:lang w:val="en-US" w:eastAsia="zh-CN" w:bidi="ar-SA"/>
    </w:rPr>
  </w:style>
  <w:style w:type="character" w:styleId="1032">
    <w:name w:val="正文文本缩进 Char"/>
    <w:next w:val="1032"/>
    <w:link w:val="809"/>
    <w:qFormat/>
    <w:rPr>
      <w:rFonts w:eastAsia="宋体"/>
      <w:sz w:val="24"/>
      <w:szCs w:val="24"/>
      <w:lang w:val="en-US" w:eastAsia="zh-CN" w:bidi="ar-SA"/>
    </w:rPr>
  </w:style>
  <w:style w:type="character" w:styleId="1033">
    <w:name w:val="列出段落 Char"/>
    <w:next w:val="1033"/>
    <w:link w:val="809"/>
    <w:qFormat/>
    <w:rPr>
      <w:rFonts w:ascii="Calibri" w:hAnsi="Calibri" w:eastAsia="宋体"/>
      <w:sz w:val="21"/>
      <w:szCs w:val="22"/>
      <w:lang w:val="en-US" w:eastAsia="zh-CN" w:bidi="ar-SA"/>
    </w:rPr>
  </w:style>
  <w:style w:type="character" w:styleId="1034">
    <w:name w:val="页眉 Char"/>
    <w:next w:val="1034"/>
    <w:link w:val="809"/>
    <w:qFormat/>
    <w:rPr>
      <w:rFonts w:eastAsia="宋体"/>
      <w:sz w:val="18"/>
      <w:szCs w:val="18"/>
      <w:lang w:val="en-US" w:eastAsia="zh-CN" w:bidi="ar-SA"/>
    </w:rPr>
  </w:style>
  <w:style w:type="character" w:styleId="1035">
    <w:name w:val="标题 2 Char"/>
    <w:next w:val="1035"/>
    <w:link w:val="809"/>
    <w:qFormat/>
    <w:rPr>
      <w:rFonts w:ascii="Arial" w:hAnsi="Arial" w:eastAsia="黑体"/>
      <w:b/>
      <w:sz w:val="30"/>
      <w:lang w:val="en-US" w:eastAsia="zh-CN" w:bidi="ar-SA"/>
    </w:rPr>
  </w:style>
  <w:style w:type="paragraph" w:styleId="1036">
    <w:name w:val="字元 字元2"/>
    <w:basedOn w:val="809"/>
    <w:next w:val="1036"/>
    <w:link w:val="809"/>
    <w:qFormat/>
    <w:rPr>
      <w:rFonts w:ascii="Tahoma" w:hAnsi="Tahoma"/>
      <w:sz w:val="24"/>
      <w:szCs w:val="20"/>
    </w:rPr>
  </w:style>
  <w:style w:type="paragraph" w:styleId="1037">
    <w:name w:val="Char3 Char Char Char2"/>
    <w:basedOn w:val="809"/>
    <w:next w:val="1037"/>
    <w:link w:val="809"/>
    <w:qFormat/>
    <w:rPr>
      <w:rFonts w:ascii="Tahoma" w:hAnsi="Tahoma"/>
      <w:sz w:val="24"/>
      <w:szCs w:val="20"/>
    </w:rPr>
  </w:style>
  <w:style w:type="paragraph" w:styleId="1038">
    <w:name w:val="正文文本缩进2"/>
    <w:basedOn w:val="809"/>
    <w:next w:val="1038"/>
    <w:link w:val="809"/>
    <w:qFormat/>
    <w:pPr>
      <w:ind w:firstLine="480"/>
      <w:spacing w:line="480" w:lineRule="exact"/>
    </w:pPr>
    <w:rPr>
      <w:rFonts w:ascii="宋体" w:hAnsi="宋体"/>
      <w:sz w:val="24"/>
      <w:lang w:val="zh-CN" w:eastAsia="zh-CN"/>
    </w:rPr>
  </w:style>
  <w:style w:type="paragraph" w:styleId="1039">
    <w:name w:val="Char3"/>
    <w:basedOn w:val="809"/>
    <w:next w:val="1039"/>
    <w:link w:val="809"/>
    <w:qFormat/>
    <w:pPr>
      <w:tabs>
        <w:tab w:val="left" w:pos="360" w:leader="none"/>
      </w:tabs>
    </w:pPr>
    <w:rPr>
      <w:sz w:val="24"/>
    </w:rPr>
  </w:style>
  <w:style w:type="paragraph" w:styleId="1040">
    <w:name w:val="Char Char Char Char Char Char Char Char Char Char Char Char Char Char Char Char1"/>
    <w:basedOn w:val="809"/>
    <w:next w:val="1040"/>
    <w:link w:val="809"/>
    <w:qFormat/>
    <w:pPr>
      <w:jc w:val="center"/>
      <w:spacing w:after="160" w:line="240" w:lineRule="exact"/>
      <w:widowControl/>
    </w:pPr>
    <w:rPr>
      <w:rFonts w:ascii="宋体" w:hAnsi="宋体"/>
      <w:b/>
      <w:sz w:val="30"/>
      <w:szCs w:val="30"/>
      <w:lang w:eastAsia="en-US"/>
    </w:rPr>
  </w:style>
  <w:style w:type="paragraph" w:styleId="1041">
    <w:name w:val="Char Char1 Char Char Char Char Char Char1"/>
    <w:basedOn w:val="809"/>
    <w:next w:val="1041"/>
    <w:link w:val="809"/>
    <w:qFormat/>
    <w:pPr>
      <w:jc w:val="left"/>
      <w:spacing w:after="160" w:line="240" w:lineRule="exact"/>
      <w:widowControl/>
    </w:pPr>
    <w:rPr>
      <w:rFonts w:ascii="Verdana" w:hAnsi="Verdana" w:eastAsia="仿宋_GB2312"/>
      <w:sz w:val="24"/>
      <w:szCs w:val="20"/>
      <w:lang w:eastAsia="en-US"/>
    </w:rPr>
  </w:style>
  <w:style w:type="paragraph" w:styleId="1042">
    <w:name w:val="列出段落2"/>
    <w:basedOn w:val="809"/>
    <w:next w:val="1042"/>
    <w:link w:val="809"/>
    <w:qFormat/>
    <w:pPr>
      <w:ind w:firstLine="420"/>
    </w:pPr>
    <w:rPr>
      <w:rFonts w:ascii="Calibri" w:hAnsi="Calibri"/>
      <w:szCs w:val="22"/>
    </w:rPr>
  </w:style>
  <w:style w:type="paragraph" w:styleId="1043">
    <w:name w:val="Char Char Char1 Char2"/>
    <w:basedOn w:val="809"/>
    <w:next w:val="1043"/>
    <w:link w:val="809"/>
    <w:qFormat/>
    <w:rPr>
      <w:rFonts w:ascii="Tahoma" w:hAnsi="Tahoma"/>
      <w:sz w:val="24"/>
      <w:szCs w:val="20"/>
    </w:rPr>
  </w:style>
  <w:style w:type="paragraph" w:styleId="1044">
    <w:name w:val="Char Char Char2"/>
    <w:basedOn w:val="809"/>
    <w:next w:val="1044"/>
    <w:link w:val="809"/>
    <w:qFormat/>
    <w:rPr>
      <w:rFonts w:ascii="Tahoma" w:hAnsi="Tahoma"/>
      <w:sz w:val="24"/>
      <w:szCs w:val="20"/>
    </w:rPr>
  </w:style>
  <w:style w:type="paragraph" w:styleId="1045">
    <w:name w:val="Char Char Char Char Char Char Char2"/>
    <w:basedOn w:val="809"/>
    <w:next w:val="1045"/>
    <w:link w:val="809"/>
    <w:qFormat/>
    <w:pPr>
      <w:ind w:firstLine="200"/>
      <w:spacing w:line="360" w:lineRule="auto"/>
    </w:pPr>
    <w:rPr>
      <w:rFonts w:eastAsia="仿宋_GB2312"/>
      <w:sz w:val="24"/>
    </w:rPr>
  </w:style>
  <w:style w:type="paragraph" w:styleId="1046">
    <w:name w:val="正文缩进2"/>
    <w:basedOn w:val="809"/>
    <w:next w:val="1046"/>
    <w:link w:val="809"/>
    <w:qFormat/>
    <w:pPr>
      <w:ind w:firstLine="567"/>
      <w:spacing w:line="480" w:lineRule="exact"/>
      <w:widowControl/>
    </w:pPr>
    <w:rPr>
      <w:rFonts w:ascii="宋体"/>
      <w:color w:val="000000"/>
      <w:sz w:val="28"/>
      <w:szCs w:val="20"/>
      <w:lang w:val="zh-CN" w:eastAsia="zh-CN"/>
    </w:rPr>
  </w:style>
  <w:style w:type="paragraph" w:styleId="1047">
    <w:name w:val="Revision"/>
    <w:next w:val="1047"/>
    <w:link w:val="809"/>
    <w:qFormat/>
    <w:rPr>
      <w:sz w:val="21"/>
      <w:szCs w:val="24"/>
      <w:lang w:val="en-US" w:eastAsia="zh-CN" w:bidi="ar-SA"/>
    </w:rPr>
  </w:style>
  <w:style w:type="paragraph" w:styleId="1048">
    <w:name w:val="Char22"/>
    <w:basedOn w:val="809"/>
    <w:next w:val="1048"/>
    <w:link w:val="809"/>
    <w:qFormat/>
    <w:rPr>
      <w:rFonts w:ascii="Tahoma" w:hAnsi="Tahoma"/>
      <w:sz w:val="24"/>
      <w:szCs w:val="20"/>
    </w:rPr>
  </w:style>
  <w:style w:type="paragraph" w:styleId="1049">
    <w:name w:val="Char Char Char Char Char Char Char Char Char Char2"/>
    <w:basedOn w:val="809"/>
    <w:next w:val="1049"/>
    <w:link w:val="809"/>
    <w:qFormat/>
    <w:rPr>
      <w:rFonts w:ascii="宋体" w:hAnsi="宋体" w:cs="Courier New"/>
      <w:sz w:val="32"/>
      <w:szCs w:val="32"/>
    </w:rPr>
  </w:style>
  <w:style w:type="paragraph" w:styleId="1050">
    <w:name w:val="Char2 Char Char Char Char Char Char1"/>
    <w:basedOn w:val="809"/>
    <w:next w:val="1050"/>
    <w:link w:val="809"/>
    <w:qFormat/>
    <w:pPr>
      <w:jc w:val="center"/>
      <w:spacing w:line="400" w:lineRule="exact"/>
      <w:widowControl/>
    </w:pPr>
  </w:style>
  <w:style w:type="character" w:styleId="1051">
    <w:name w:val="页脚 Char"/>
    <w:next w:val="1051"/>
    <w:link w:val="809"/>
    <w:qFormat/>
    <w:rPr>
      <w:rFonts w:ascii="宋体" w:eastAsia="宋体"/>
      <w:sz w:val="18"/>
      <w:lang w:val="en-US" w:eastAsia="zh-CN" w:bidi="ar-SA"/>
    </w:rPr>
  </w:style>
  <w:style w:type="paragraph" w:styleId="1052">
    <w:name w:val="Char Char41"/>
    <w:basedOn w:val="809"/>
    <w:next w:val="1052"/>
    <w:link w:val="809"/>
    <w:qFormat/>
    <w:pPr>
      <w:jc w:val="center"/>
      <w:spacing w:line="400" w:lineRule="exact"/>
      <w:widowControl/>
    </w:pPr>
  </w:style>
  <w:style w:type="character" w:styleId="1053">
    <w:name w:val="批注文字 Char"/>
    <w:next w:val="1053"/>
    <w:link w:val="809"/>
    <w:uiPriority w:val="99"/>
    <w:qFormat/>
    <w:rPr>
      <w:sz w:val="21"/>
      <w:szCs w:val="24"/>
    </w:rPr>
  </w:style>
  <w:style w:type="character" w:styleId="1054">
    <w:name w:val="标题 Char"/>
    <w:next w:val="1054"/>
    <w:link w:val="809"/>
    <w:qFormat/>
    <w:rPr>
      <w:b/>
      <w:sz w:val="32"/>
    </w:rPr>
  </w:style>
  <w:style w:type="paragraph" w:styleId="1055">
    <w:name w:val="图例"/>
    <w:basedOn w:val="809"/>
    <w:next w:val="1055"/>
    <w:link w:val="809"/>
    <w:qFormat/>
    <w:pPr>
      <w:jc w:val="center"/>
      <w:spacing w:before="120" w:after="120" w:line="360" w:lineRule="auto"/>
    </w:pPr>
    <w:rPr>
      <w:rFonts w:eastAsia="仿宋_GB2312"/>
      <w:b/>
      <w:sz w:val="24"/>
      <w:szCs w:val="20"/>
    </w:rPr>
  </w:style>
  <w:style w:type="paragraph" w:styleId="1056">
    <w:name w:val="Table Paragraph"/>
    <w:basedOn w:val="809"/>
    <w:next w:val="1056"/>
    <w:link w:val="809"/>
    <w:uiPriority w:val="1"/>
    <w:qFormat/>
    <w:pPr>
      <w:jc w:val="left"/>
    </w:pPr>
    <w:rPr>
      <w:rFonts w:ascii="宋体" w:hAnsi="宋体" w:cs="宋体"/>
      <w:sz w:val="22"/>
      <w:szCs w:val="22"/>
      <w:lang w:eastAsia="en-US"/>
    </w:rPr>
  </w:style>
  <w:style w:type="table" w:styleId="1057">
    <w:name w:val="Table Normal"/>
    <w:next w:val="1057"/>
    <w:link w:val="809"/>
    <w:uiPriority w:val="2"/>
    <w:semiHidden/>
    <w:qFormat/>
    <w:pPr>
      <w:widowControl w:val="off"/>
    </w:pPr>
    <w:rPr>
      <w:rFonts w:ascii="Calibri" w:hAnsi="Calibri"/>
      <w:sz w:val="22"/>
      <w:szCs w:val="22"/>
      <w:lang w:val="en-US" w:eastAsia="en-US" w:bidi="ar-SA"/>
    </w:rPr>
    <w:tblPr/>
  </w:style>
  <w:style w:type="paragraph" w:styleId="1058">
    <w:name w:val="成文日期"/>
    <w:basedOn w:val="809"/>
    <w:next w:val="1058"/>
    <w:link w:val="1059"/>
    <w:qFormat/>
    <w:pPr>
      <w:ind w:right="400" w:firstLine="200"/>
      <w:jc w:val="right"/>
      <w:spacing w:line="570" w:lineRule="exact"/>
    </w:pPr>
    <w:rPr>
      <w:rFonts w:ascii="仿宋_GB2312" w:eastAsia="仿宋_GB2312"/>
      <w:sz w:val="32"/>
      <w:szCs w:val="20"/>
    </w:rPr>
  </w:style>
  <w:style w:type="character" w:styleId="1059">
    <w:name w:val="成文日期 Char"/>
    <w:next w:val="1059"/>
    <w:link w:val="1058"/>
    <w:rPr>
      <w:rFonts w:ascii="仿宋_GB2312" w:eastAsia="仿宋_GB2312"/>
      <w:sz w:val="32"/>
    </w:rPr>
  </w:style>
  <w:style w:type="character" w:styleId="1060">
    <w:name w:val="font01"/>
    <w:basedOn w:val="819"/>
    <w:next w:val="1060"/>
    <w:link w:val="809"/>
    <w:rPr>
      <w:rFonts w:hint="eastAsia" w:ascii="宋体" w:hAnsi="宋体" w:eastAsia="宋体" w:cs="宋体"/>
      <w:i w:val="0"/>
      <w:iCs w:val="0"/>
      <w:color w:val="000000"/>
      <w:sz w:val="24"/>
      <w:szCs w:val="24"/>
      <w:u w:val="none"/>
    </w:rPr>
  </w:style>
  <w:style w:type="character" w:styleId="1061">
    <w:name w:val="font31"/>
    <w:basedOn w:val="819"/>
    <w:next w:val="1061"/>
    <w:link w:val="809"/>
    <w:rPr>
      <w:rFonts w:ascii="Calibri" w:hAnsi="Calibri" w:cs="Calibri"/>
      <w:i w:val="0"/>
      <w:iCs w:val="0"/>
      <w:color w:val="000000"/>
      <w:sz w:val="24"/>
      <w:szCs w:val="24"/>
      <w:u w:val="none"/>
    </w:rPr>
  </w:style>
  <w:style w:type="paragraph" w:styleId="1062">
    <w:name w:val="正文1"/>
    <w:basedOn w:val="809"/>
    <w:next w:val="1062"/>
    <w:link w:val="809"/>
    <w:qFormat/>
    <w:pPr>
      <w:contextualSpacing/>
      <w:ind w:firstLine="200"/>
      <w:jc w:val="left"/>
      <w:spacing w:before="120" w:after="120"/>
      <w:widowControl/>
    </w:pPr>
    <w:rPr>
      <w:rFonts w:ascii="Calibri" w:hAnsi="Calibri" w:eastAsia="Adobe 仿宋 Std R"/>
      <w:sz w:val="20"/>
      <w:szCs w:val="21"/>
    </w:rPr>
  </w:style>
  <w:style w:type="character" w:styleId="1063">
    <w:name w:val="NormalCharacter1"/>
    <w:next w:val="1063"/>
    <w:link w:val="809"/>
    <w:semiHidden/>
    <w:qFormat/>
    <w:rPr>
      <w:rFonts w:ascii="Calibri" w:hAnsi="Calibri" w:eastAsia="宋体" w:cs="Times New Roman"/>
      <w:sz w:val="21"/>
      <w:szCs w:val="24"/>
      <w:lang w:val="en-US" w:eastAsia="zh-CN" w:bidi="ar-SA"/>
    </w:rPr>
  </w:style>
  <w:style w:type="character" w:styleId="16652" w:default="1">
    <w:name w:val="Default Paragraph Font"/>
    <w:uiPriority w:val="1"/>
    <w:semiHidden/>
    <w:unhideWhenUsed/>
  </w:style>
  <w:style w:type="numbering" w:styleId="16653" w:default="1">
    <w:name w:val="No List"/>
    <w:uiPriority w:val="99"/>
    <w:semiHidden/>
    <w:unhideWhenUsed/>
  </w:style>
  <w:style w:type="table" w:styleId="166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陆嘉</dc:creator>
  <cp:lastModifiedBy>张工</cp:lastModifiedBy>
  <cp:revision>6</cp:revision>
  <dcterms:created xsi:type="dcterms:W3CDTF">2022-05-30T08:03:00Z</dcterms:created>
  <dcterms:modified xsi:type="dcterms:W3CDTF">2025-11-11T02:30:45Z</dcterms:modified>
</cp:coreProperties>
</file>